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EF504" w14:textId="77777777" w:rsidR="00674DA0" w:rsidRPr="00D8410E" w:rsidRDefault="00674DA0" w:rsidP="00674DA0">
      <w:pPr>
        <w:pStyle w:val="Heading1"/>
        <w:spacing w:before="0" w:after="0"/>
        <w:rPr>
          <w:rFonts w:ascii="Times New Roman" w:hAnsi="Times New Roman" w:cs="Times New Roman"/>
          <w:b w:val="0"/>
          <w:sz w:val="28"/>
          <w:szCs w:val="28"/>
          <w:lang w:val="nl-NL"/>
        </w:rPr>
      </w:pPr>
      <w:r w:rsidRPr="00D8410E">
        <w:rPr>
          <w:rFonts w:ascii="Times New Roman" w:hAnsi="Times New Roman" w:cs="Times New Roman"/>
          <w:b w:val="0"/>
          <w:sz w:val="28"/>
          <w:szCs w:val="28"/>
          <w:lang w:val="nl-NL"/>
        </w:rPr>
        <w:t xml:space="preserve">TOÀ ÁN NHÂN DÂN          </w:t>
      </w:r>
      <w:r>
        <w:rPr>
          <w:rFonts w:ascii="Times New Roman" w:hAnsi="Times New Roman" w:cs="Times New Roman"/>
          <w:b w:val="0"/>
          <w:sz w:val="28"/>
          <w:szCs w:val="28"/>
          <w:lang w:val="nl-NL"/>
        </w:rPr>
        <w:t xml:space="preserve">       </w:t>
      </w:r>
      <w:r w:rsidRPr="00D8410E">
        <w:rPr>
          <w:rFonts w:ascii="Times New Roman" w:hAnsi="Times New Roman" w:cs="Times New Roman"/>
          <w:b w:val="0"/>
          <w:sz w:val="28"/>
          <w:szCs w:val="28"/>
          <w:lang w:val="nl-NL"/>
        </w:rPr>
        <w:t xml:space="preserve">  CỘNG HOÀ XÃ HỘI CHỦ NGHĨA VIỆT NAM</w:t>
      </w:r>
    </w:p>
    <w:p w14:paraId="0D4A805C" w14:textId="77777777" w:rsidR="00674DA0" w:rsidRPr="00D8410E" w:rsidRDefault="00674DA0" w:rsidP="00674DA0">
      <w:pPr>
        <w:rPr>
          <w:lang w:val="nl-NL"/>
        </w:rPr>
      </w:pPr>
      <w:r w:rsidRPr="00D8410E">
        <w:rPr>
          <w:lang w:val="nl-NL"/>
        </w:rPr>
        <w:t xml:space="preserve">TỈNH QUẢNG BÌNH </w:t>
      </w:r>
      <w:r w:rsidRPr="00D8410E">
        <w:rPr>
          <w:lang w:val="nl-NL"/>
        </w:rPr>
        <w:tab/>
      </w:r>
      <w:r w:rsidRPr="00D8410E">
        <w:rPr>
          <w:lang w:val="nl-NL"/>
        </w:rPr>
        <w:tab/>
        <w:t xml:space="preserve">              </w:t>
      </w:r>
      <w:r>
        <w:rPr>
          <w:lang w:val="nl-NL"/>
        </w:rPr>
        <w:t xml:space="preserve">       </w:t>
      </w:r>
      <w:r w:rsidRPr="00D8410E">
        <w:rPr>
          <w:lang w:val="nl-NL"/>
        </w:rPr>
        <w:t xml:space="preserve">  Độc lập - Tự do - Hạnh phúc</w:t>
      </w:r>
    </w:p>
    <w:p w14:paraId="7E2AFE18" w14:textId="77777777" w:rsidR="00674DA0" w:rsidRPr="00D8410E" w:rsidRDefault="00674DA0" w:rsidP="00674DA0">
      <w:pPr>
        <w:rPr>
          <w:lang w:val="nl-NL"/>
        </w:rPr>
      </w:pPr>
      <w:r>
        <w:rPr>
          <w:noProof/>
        </w:rPr>
        <mc:AlternateContent>
          <mc:Choice Requires="wps">
            <w:drawing>
              <wp:anchor distT="0" distB="0" distL="114300" distR="114300" simplePos="0" relativeHeight="251659264" behindDoc="0" locked="0" layoutInCell="1" allowOverlap="1" wp14:anchorId="20D7D3DE" wp14:editId="12E7B169">
                <wp:simplePos x="0" y="0"/>
                <wp:positionH relativeFrom="column">
                  <wp:posOffset>3236595</wp:posOffset>
                </wp:positionH>
                <wp:positionV relativeFrom="paragraph">
                  <wp:posOffset>60960</wp:posOffset>
                </wp:positionV>
                <wp:extent cx="2263140" cy="0"/>
                <wp:effectExtent l="7620"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5pt,4.8pt" to="433.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Om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"/>
            </w:pict>
          </mc:Fallback>
        </mc:AlternateContent>
      </w:r>
      <w:r>
        <w:rPr>
          <w:noProof/>
        </w:rPr>
        <mc:AlternateContent>
          <mc:Choice Requires="wps">
            <w:drawing>
              <wp:anchor distT="0" distB="0" distL="114300" distR="114300" simplePos="0" relativeHeight="251660288" behindDoc="0" locked="0" layoutInCell="1" allowOverlap="1" wp14:anchorId="5D8DC0BD" wp14:editId="22280A53">
                <wp:simplePos x="0" y="0"/>
                <wp:positionH relativeFrom="column">
                  <wp:posOffset>45720</wp:posOffset>
                </wp:positionH>
                <wp:positionV relativeFrom="paragraph">
                  <wp:posOffset>60960</wp:posOffset>
                </wp:positionV>
                <wp:extent cx="1574165" cy="0"/>
                <wp:effectExtent l="7620" t="13335" r="889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8pt" to="127.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3Ya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yVOeTSc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"/>
            </w:pict>
          </mc:Fallback>
        </mc:AlternateContent>
      </w:r>
    </w:p>
    <w:p w14:paraId="5262D328" w14:textId="77777777" w:rsidR="00674DA0" w:rsidRPr="00D8410E" w:rsidRDefault="00674DA0" w:rsidP="00674DA0">
      <w:pPr>
        <w:rPr>
          <w:lang w:val="nl-NL"/>
        </w:rPr>
      </w:pPr>
      <w:r w:rsidRPr="00D8410E">
        <w:rPr>
          <w:lang w:val="nl-NL"/>
        </w:rPr>
        <w:t xml:space="preserve"> Số:</w:t>
      </w:r>
      <w:r>
        <w:rPr>
          <w:lang w:val="nl-NL"/>
        </w:rPr>
        <w:t xml:space="preserve">  359 </w:t>
      </w:r>
      <w:r w:rsidRPr="00D8410E">
        <w:rPr>
          <w:lang w:val="nl-NL"/>
        </w:rPr>
        <w:t xml:space="preserve">/BC-TAND              </w:t>
      </w:r>
      <w:r>
        <w:rPr>
          <w:lang w:val="nl-NL"/>
        </w:rPr>
        <w:t xml:space="preserve"> </w:t>
      </w:r>
      <w:r w:rsidRPr="00D8410E">
        <w:rPr>
          <w:lang w:val="nl-NL"/>
        </w:rPr>
        <w:t xml:space="preserve">             </w:t>
      </w:r>
      <w:r>
        <w:rPr>
          <w:lang w:val="nl-NL"/>
        </w:rPr>
        <w:t xml:space="preserve">    </w:t>
      </w:r>
      <w:r w:rsidRPr="00D8410E">
        <w:rPr>
          <w:lang w:val="nl-NL"/>
        </w:rPr>
        <w:t xml:space="preserve"> </w:t>
      </w:r>
      <w:r>
        <w:rPr>
          <w:lang w:val="nl-NL"/>
        </w:rPr>
        <w:t xml:space="preserve"> </w:t>
      </w:r>
      <w:r w:rsidRPr="00D8410E">
        <w:rPr>
          <w:bCs/>
          <w:i/>
          <w:iCs/>
          <w:lang w:val="nl-NL"/>
        </w:rPr>
        <w:t>Quảng Bình,</w:t>
      </w:r>
      <w:r>
        <w:rPr>
          <w:i/>
          <w:iCs/>
          <w:lang w:val="nl-NL"/>
        </w:rPr>
        <w:t xml:space="preserve"> ngày  04  tháng  7  năm 2019</w:t>
      </w:r>
      <w:r w:rsidRPr="00D8410E">
        <w:rPr>
          <w:i/>
          <w:iCs/>
          <w:lang w:val="nl-NL"/>
        </w:rPr>
        <w:t>.</w:t>
      </w:r>
    </w:p>
    <w:p w14:paraId="344B89DC" w14:textId="77777777" w:rsidR="00674DA0" w:rsidRPr="00D8410E" w:rsidRDefault="00674DA0" w:rsidP="00674DA0">
      <w:pPr>
        <w:jc w:val="center"/>
        <w:rPr>
          <w:bCs/>
          <w:lang w:val="nl-NL"/>
        </w:rPr>
      </w:pPr>
    </w:p>
    <w:p w14:paraId="50F49F14" w14:textId="77777777" w:rsidR="00674DA0" w:rsidRPr="00D8410E" w:rsidRDefault="00674DA0" w:rsidP="00674DA0">
      <w:pPr>
        <w:jc w:val="center"/>
        <w:rPr>
          <w:bCs/>
          <w:lang w:val="nl-NL"/>
        </w:rPr>
      </w:pPr>
      <w:r w:rsidRPr="00D8410E">
        <w:rPr>
          <w:bCs/>
          <w:lang w:val="nl-NL"/>
        </w:rPr>
        <w:t>BÁO CÁO</w:t>
      </w:r>
    </w:p>
    <w:p w14:paraId="53879A28" w14:textId="77777777" w:rsidR="00674DA0" w:rsidRPr="00D8410E" w:rsidRDefault="00674DA0" w:rsidP="00674DA0">
      <w:pPr>
        <w:jc w:val="center"/>
        <w:rPr>
          <w:bCs/>
          <w:lang w:val="nl-NL"/>
        </w:rPr>
      </w:pPr>
      <w:r w:rsidRPr="00D8410E">
        <w:rPr>
          <w:bCs/>
          <w:lang w:val="nl-NL"/>
        </w:rPr>
        <w:t>CÔNG TÁC TÒA ÁN</w:t>
      </w:r>
      <w:r>
        <w:rPr>
          <w:bCs/>
          <w:lang w:val="nl-NL"/>
        </w:rPr>
        <w:t xml:space="preserve"> NHÂN DÂN 6 THÁNG ĐẦU NĂM 2019</w:t>
      </w:r>
    </w:p>
    <w:p w14:paraId="1431CCD9" w14:textId="77777777" w:rsidR="00674DA0" w:rsidRPr="00DA69B0" w:rsidRDefault="00674DA0" w:rsidP="00674DA0">
      <w:pPr>
        <w:spacing w:before="120"/>
        <w:jc w:val="center"/>
      </w:pPr>
      <w:r>
        <w:t>(Trình bày tại kỳ họp thứ 10 - HĐND tỉnh khóa XVII nhiệm kỳ 2016 - 2021</w:t>
      </w:r>
      <w:r w:rsidRPr="00DA69B0">
        <w:t>)</w:t>
      </w:r>
    </w:p>
    <w:p w14:paraId="558C4BEA" w14:textId="77777777" w:rsidR="00674DA0" w:rsidRDefault="00674DA0" w:rsidP="00674DA0">
      <w:pPr>
        <w:spacing w:line="280" w:lineRule="atLeast"/>
        <w:rPr>
          <w:sz w:val="24"/>
          <w:szCs w:val="24"/>
        </w:rPr>
      </w:pPr>
    </w:p>
    <w:p w14:paraId="02493ADC" w14:textId="77777777" w:rsidR="00674DA0" w:rsidRDefault="00674DA0" w:rsidP="00674DA0">
      <w:pPr>
        <w:spacing w:line="280" w:lineRule="atLeast"/>
        <w:rPr>
          <w:sz w:val="24"/>
          <w:szCs w:val="24"/>
        </w:rPr>
      </w:pPr>
    </w:p>
    <w:p w14:paraId="4E63BE25" w14:textId="77777777" w:rsidR="00674DA0" w:rsidRPr="00005DCD" w:rsidRDefault="00674DA0" w:rsidP="00674DA0">
      <w:pPr>
        <w:jc w:val="both"/>
        <w:rPr>
          <w:b/>
          <w:bCs/>
          <w:sz w:val="26"/>
        </w:rPr>
      </w:pPr>
      <w:r w:rsidRPr="001C5267">
        <w:rPr>
          <w:sz w:val="24"/>
          <w:szCs w:val="24"/>
        </w:rPr>
        <w:t> </w:t>
      </w:r>
      <w:r>
        <w:rPr>
          <w:sz w:val="24"/>
          <w:szCs w:val="24"/>
        </w:rPr>
        <w:tab/>
      </w:r>
      <w:r w:rsidRPr="00005DCD">
        <w:rPr>
          <w:b/>
          <w:bCs/>
          <w:sz w:val="26"/>
        </w:rPr>
        <w:t>I. TÌNH HÌNH CÔNG T</w:t>
      </w:r>
      <w:r>
        <w:rPr>
          <w:b/>
          <w:bCs/>
          <w:sz w:val="26"/>
        </w:rPr>
        <w:t>OÀ ÁN 6 THÁNG ĐẦU NĂM 2019</w:t>
      </w:r>
    </w:p>
    <w:p w14:paraId="6382826F" w14:textId="77777777" w:rsidR="00674DA0" w:rsidRDefault="00674DA0" w:rsidP="00674DA0">
      <w:pPr>
        <w:ind w:firstLine="720"/>
        <w:jc w:val="both"/>
        <w:rPr>
          <w:b/>
          <w:bCs/>
        </w:rPr>
      </w:pPr>
      <w:r w:rsidRPr="00DA69B0">
        <w:rPr>
          <w:b/>
          <w:bCs/>
        </w:rPr>
        <w:t xml:space="preserve">1. </w:t>
      </w:r>
      <w:r>
        <w:rPr>
          <w:b/>
          <w:bCs/>
        </w:rPr>
        <w:t>Về công tác xét xử, giải quyết </w:t>
      </w:r>
      <w:r w:rsidRPr="00DA69B0">
        <w:rPr>
          <w:b/>
          <w:bCs/>
        </w:rPr>
        <w:t>các loại vụ án</w:t>
      </w:r>
    </w:p>
    <w:p w14:paraId="20D2C9DF" w14:textId="77777777" w:rsidR="00674DA0" w:rsidRDefault="00674DA0" w:rsidP="00674DA0">
      <w:pPr>
        <w:ind w:firstLine="720"/>
        <w:jc w:val="both"/>
        <w:rPr>
          <w:b/>
          <w:bCs/>
          <w:i/>
          <w:iCs/>
        </w:rPr>
      </w:pPr>
      <w:r w:rsidRPr="00DA69B0">
        <w:rPr>
          <w:b/>
          <w:bCs/>
          <w:i/>
          <w:iCs/>
        </w:rPr>
        <w:t>1.1. Kết quả đạt được</w:t>
      </w:r>
    </w:p>
    <w:p w14:paraId="519738EB" w14:textId="77777777" w:rsidR="00674DA0" w:rsidRDefault="00674DA0" w:rsidP="00674DA0">
      <w:pPr>
        <w:ind w:firstLine="720"/>
        <w:jc w:val="both"/>
        <w:rPr>
          <w:b/>
          <w:bCs/>
          <w:i/>
          <w:iCs/>
        </w:rPr>
      </w:pPr>
      <w:r w:rsidRPr="00DA69B0">
        <w:rPr>
          <w:b/>
          <w:bCs/>
          <w:i/>
          <w:iCs/>
        </w:rPr>
        <w:t>a. Về kết quả chung:</w:t>
      </w:r>
      <w:bookmarkStart w:id="0" w:name="_GoBack"/>
      <w:bookmarkEnd w:id="0"/>
    </w:p>
    <w:p w14:paraId="316F5F19" w14:textId="77777777" w:rsidR="00674DA0" w:rsidRDefault="00674DA0" w:rsidP="00674DA0">
      <w:pPr>
        <w:ind w:firstLine="720"/>
        <w:jc w:val="both"/>
      </w:pPr>
      <w:r>
        <w:rPr>
          <w:bCs/>
          <w:iCs/>
        </w:rPr>
        <w:t>Trong 6 tháng đầu n</w:t>
      </w:r>
      <w:r>
        <w:rPr>
          <w:spacing w:val="-10"/>
          <w:lang w:val="vi-VN"/>
        </w:rPr>
        <w:t>ăm 201</w:t>
      </w:r>
      <w:r>
        <w:rPr>
          <w:spacing w:val="-10"/>
        </w:rPr>
        <w:t>9 (từ 01/12/2018 đến 31/5/2019)</w:t>
      </w:r>
      <w:r w:rsidRPr="00AE6E5C">
        <w:rPr>
          <w:spacing w:val="-10"/>
          <w:lang w:val="vi-VN"/>
        </w:rPr>
        <w:t xml:space="preserve">, </w:t>
      </w:r>
      <w:r w:rsidRPr="00AE6E5C">
        <w:rPr>
          <w:lang w:val="sv-SE"/>
        </w:rPr>
        <w:t>Tòa án</w:t>
      </w:r>
      <w:r>
        <w:rPr>
          <w:lang w:val="sv-SE"/>
        </w:rPr>
        <w:t xml:space="preserve"> nhân dân hai cấp tỉnh Quảng Bình </w:t>
      </w:r>
      <w:r w:rsidRPr="00AE6E5C">
        <w:rPr>
          <w:lang w:val="sv-SE"/>
        </w:rPr>
        <w:t xml:space="preserve">đã giải quyết </w:t>
      </w:r>
      <w:r>
        <w:rPr>
          <w:lang w:val="sv-SE"/>
        </w:rPr>
        <w:t>1.107/1.765</w:t>
      </w:r>
      <w:r w:rsidRPr="00AE6E5C">
        <w:rPr>
          <w:lang w:val="sv-SE"/>
        </w:rPr>
        <w:t xml:space="preserve"> vụ án đã thụ lý</w:t>
      </w:r>
      <w:r>
        <w:rPr>
          <w:lang w:val="sv-SE"/>
        </w:rPr>
        <w:t xml:space="preserve"> (</w:t>
      </w:r>
      <w:r w:rsidRPr="00AE6E5C">
        <w:rPr>
          <w:lang w:val="sv-SE"/>
        </w:rPr>
        <w:t xml:space="preserve">đạt tỷ lệ </w:t>
      </w:r>
      <w:r>
        <w:rPr>
          <w:lang w:val="sv-SE"/>
        </w:rPr>
        <w:t>62,7</w:t>
      </w:r>
      <w:r w:rsidRPr="00AE6E5C">
        <w:rPr>
          <w:lang w:val="sv-SE"/>
        </w:rPr>
        <w:t>%</w:t>
      </w:r>
      <w:r>
        <w:rPr>
          <w:lang w:val="sv-SE"/>
        </w:rPr>
        <w:t>), tăng 99 vụ</w:t>
      </w:r>
      <w:r w:rsidRPr="00AE6E5C">
        <w:rPr>
          <w:lang w:val="sv-SE"/>
        </w:rPr>
        <w:t xml:space="preserve"> </w:t>
      </w:r>
      <w:r>
        <w:rPr>
          <w:lang w:val="sv-SE"/>
        </w:rPr>
        <w:t>so với cùng kỳ năm 2018</w:t>
      </w:r>
      <w:r w:rsidRPr="00AE6E5C">
        <w:rPr>
          <w:lang w:val="sv-SE"/>
        </w:rPr>
        <w:t>; số vụ án còn</w:t>
      </w:r>
      <w:r>
        <w:rPr>
          <w:lang w:val="sv-SE"/>
        </w:rPr>
        <w:t xml:space="preserve"> lại hầu hết là mới thụ lý và đang</w:t>
      </w:r>
      <w:r w:rsidRPr="00AE6E5C">
        <w:rPr>
          <w:lang w:val="sv-SE"/>
        </w:rPr>
        <w:t xml:space="preserve"> trong thời hạn giải qu</w:t>
      </w:r>
      <w:r>
        <w:rPr>
          <w:lang w:val="sv-SE"/>
        </w:rPr>
        <w:t>yết theo quy định của pháp luật</w:t>
      </w:r>
      <w:r>
        <w:rPr>
          <w:spacing w:val="-10"/>
          <w:lang w:val="sv-SE"/>
        </w:rPr>
        <w:t>. C</w:t>
      </w:r>
      <w:r w:rsidRPr="00AE6E5C">
        <w:rPr>
          <w:spacing w:val="-10"/>
          <w:lang w:val="sv-SE"/>
        </w:rPr>
        <w:t xml:space="preserve">hất lượng giải quyết, xét xử các loại vụ án tiếp tục được </w:t>
      </w:r>
      <w:r>
        <w:rPr>
          <w:spacing w:val="-10"/>
          <w:lang w:val="sv-SE"/>
        </w:rPr>
        <w:t>nâng cao, t</w:t>
      </w:r>
      <w:r w:rsidRPr="00AE6E5C">
        <w:rPr>
          <w:spacing w:val="-10"/>
          <w:lang w:val="sv-SE"/>
        </w:rPr>
        <w:t>ỷ</w:t>
      </w:r>
      <w:r w:rsidRPr="00AE6E5C">
        <w:rPr>
          <w:lang w:val="sv-SE"/>
        </w:rPr>
        <w:t xml:space="preserve"> lệ các bản án, quyết định bị hủy d</w:t>
      </w:r>
      <w:r>
        <w:rPr>
          <w:lang w:val="sv-SE"/>
        </w:rPr>
        <w:t>o lỗi chủ quan của Thẩm phán là 0,27%, án bị sửa 0,18% do lỗi chủ quan của Thẩm phán.</w:t>
      </w:r>
      <w:r w:rsidRPr="00AE6E5C">
        <w:rPr>
          <w:lang w:val="vi-VN"/>
        </w:rPr>
        <w:t xml:space="preserve"> </w:t>
      </w:r>
      <w:r w:rsidRPr="00DA69B0">
        <w:t xml:space="preserve">Tỷ lệ </w:t>
      </w:r>
      <w:r>
        <w:t xml:space="preserve">này </w:t>
      </w:r>
      <w:r w:rsidRPr="00DA69B0">
        <w:t>thấp hơn nhiều so với chỉ tiêu thi đua mà Tòa án nhân dân tối cao quy định</w:t>
      </w:r>
      <w:r>
        <w:t xml:space="preserve"> (</w:t>
      </w:r>
      <w:r w:rsidRPr="00DA69B0">
        <w:t>tỷ lệ án bị hủy không quá 1,</w:t>
      </w:r>
      <w:r>
        <w:t>16%, tỷ lệ án bị sửa không quá 3</w:t>
      </w:r>
      <w:r w:rsidRPr="00DA69B0">
        <w:t>%</w:t>
      </w:r>
      <w:r>
        <w:t>)</w:t>
      </w:r>
      <w:r w:rsidRPr="00DA69B0">
        <w:t>.</w:t>
      </w:r>
    </w:p>
    <w:p w14:paraId="189FFFC0" w14:textId="77777777" w:rsidR="00674DA0" w:rsidRPr="008A1561" w:rsidRDefault="00674DA0" w:rsidP="00674DA0">
      <w:pPr>
        <w:jc w:val="both"/>
        <w:rPr>
          <w:spacing w:val="-4"/>
        </w:rPr>
      </w:pPr>
      <w:r>
        <w:tab/>
        <w:t>6 tháng đầu năm 2019 có 39/39 Thẩm phán (kể cả Chánh án và Phó Chánh án) TAND tỉnh và TAND cấp huyện đăng ký phiên tòa rút kinh nghiệm, đã tổ chức được 10 phiên toà; Tòa án nhân dân tỉnh đã tổ chức 01 phiên tòa rút kinh nghiệm bằng hình thức trực tuyến từ điểm cầu Tòa án tỉnh kết nối với 7 điểm cầu Tòa án nhân dân cấp huyện và tổ chức 01 phiên tòa rút kinh nghiệm trực tuyến từ điềm cầu Tòa án nhân dân huyện Quảng Ninh kết nối với điểm cầu Tòa án tỉnh và các Tòa án cấp huyện với sự tham gia của toàn thể Thẩm phán, Thẩm tra viên, Thư ký TAND, Hội thẩm nhân hai cấp; Kiểm sát viên cấp tỉnh và cấp huyện.</w:t>
      </w:r>
      <w:r>
        <w:rPr>
          <w:spacing w:val="-4"/>
        </w:rPr>
        <w:t xml:space="preserve"> Sau phiên toà, tổ chức phiên họp trực tuyến để rút kinh nghiệm cho Thẩm phán, Kiểm sát viên, Hội thẩm Toà án toàn tỉnh.</w:t>
      </w:r>
    </w:p>
    <w:p w14:paraId="4D232F08" w14:textId="77777777" w:rsidR="00674DA0" w:rsidRDefault="00674DA0" w:rsidP="00674DA0">
      <w:pPr>
        <w:shd w:val="clear" w:color="auto" w:fill="FFFFFF" w:themeFill="background1"/>
        <w:ind w:firstLine="720"/>
        <w:jc w:val="both"/>
        <w:rPr>
          <w:color w:val="000000"/>
        </w:rPr>
      </w:pPr>
      <w:r w:rsidRPr="008E277E">
        <w:rPr>
          <w:bCs/>
          <w:iCs/>
          <w:color w:val="000000" w:themeColor="text1"/>
        </w:rPr>
        <w:t xml:space="preserve">Công tác cải cách thủ tục hành chính tư pháp tập trung vào việc đổi mới các quy trình, thủ tục tiếp nhận và xử lý công việc và tăng cường ứng dụng công nghệ thông tin vào các hoạt động của Tòa án; 100% các bản án, quyết định có hiệu lực pháp luật thuộc diện phải đăng trên cổng thông tin điện tử của Tòa án được các Thẩm phán đăng kịp thời, đúng quy định, tính đến thời điểm tháng 5/2019 Thẩm phán TAND hai cấp tỉnh Quảng Bình đã đăng được </w:t>
      </w:r>
      <w:r w:rsidRPr="008E277E">
        <w:rPr>
          <w:b/>
          <w:bCs/>
          <w:iCs/>
          <w:color w:val="000000" w:themeColor="text1"/>
        </w:rPr>
        <w:t xml:space="preserve">3.740 </w:t>
      </w:r>
      <w:r w:rsidRPr="005E3B76">
        <w:rPr>
          <w:bCs/>
          <w:iCs/>
          <w:color w:val="000000" w:themeColor="text1"/>
        </w:rPr>
        <w:t>b</w:t>
      </w:r>
      <w:r w:rsidRPr="008E277E">
        <w:rPr>
          <w:bCs/>
          <w:iCs/>
          <w:color w:val="000000" w:themeColor="text1"/>
        </w:rPr>
        <w:t>ản án, quyết định nhằm tạo điều kiện thuận lợi để các cơ quan, tổ chức người dân tiếp cận cũng như giám sát các hoạt động của Tòa án</w:t>
      </w:r>
      <w:r>
        <w:rPr>
          <w:bCs/>
          <w:iCs/>
          <w:color w:val="000000" w:themeColor="text1"/>
        </w:rPr>
        <w:t>.</w:t>
      </w:r>
      <w:r w:rsidRPr="008E277E">
        <w:rPr>
          <w:bCs/>
          <w:iCs/>
          <w:color w:val="000000" w:themeColor="text1"/>
        </w:rPr>
        <w:t xml:space="preserve"> </w:t>
      </w:r>
    </w:p>
    <w:p w14:paraId="59D02E48" w14:textId="77777777" w:rsidR="00674DA0" w:rsidRDefault="00674DA0" w:rsidP="00674DA0">
      <w:pPr>
        <w:ind w:firstLine="720"/>
        <w:jc w:val="both"/>
        <w:rPr>
          <w:b/>
          <w:i/>
          <w:lang w:val="nl-NL"/>
        </w:rPr>
      </w:pPr>
      <w:r>
        <w:rPr>
          <w:b/>
          <w:i/>
          <w:lang w:val="nl-NL"/>
        </w:rPr>
        <w:t>b</w:t>
      </w:r>
      <w:r w:rsidRPr="00085581">
        <w:rPr>
          <w:b/>
          <w:i/>
          <w:lang w:val="nl-NL"/>
        </w:rPr>
        <w:t xml:space="preserve">. </w:t>
      </w:r>
      <w:r>
        <w:rPr>
          <w:b/>
          <w:i/>
          <w:lang w:val="nl-NL"/>
        </w:rPr>
        <w:t>Về c</w:t>
      </w:r>
      <w:r w:rsidRPr="00085581">
        <w:rPr>
          <w:b/>
          <w:i/>
          <w:lang w:val="nl-NL"/>
        </w:rPr>
        <w:t>ông tác giải quyết án hình sự:</w:t>
      </w:r>
      <w:r>
        <w:rPr>
          <w:b/>
          <w:i/>
          <w:lang w:val="nl-NL"/>
        </w:rPr>
        <w:t xml:space="preserve"> </w:t>
      </w:r>
    </w:p>
    <w:p w14:paraId="228C5AF9" w14:textId="77777777" w:rsidR="00674DA0" w:rsidRDefault="00674DA0" w:rsidP="00674DA0">
      <w:pPr>
        <w:ind w:firstLine="720"/>
        <w:jc w:val="both"/>
        <w:rPr>
          <w:lang w:val="nl-NL"/>
        </w:rPr>
      </w:pPr>
      <w:r w:rsidRPr="00D8410E">
        <w:rPr>
          <w:lang w:val="nl-NL"/>
        </w:rPr>
        <w:t>Tòa án tỉnh và cá</w:t>
      </w:r>
      <w:r>
        <w:rPr>
          <w:lang w:val="nl-NL"/>
        </w:rPr>
        <w:t xml:space="preserve">c Tòa án cấp huyện đã thụ lý 357 vụ (sơ thẩm 279 vụ/422 bị cáo; phúc thẩm 78 vụ/133 </w:t>
      </w:r>
      <w:r w:rsidRPr="00D8410E">
        <w:rPr>
          <w:lang w:val="nl-NL"/>
        </w:rPr>
        <w:t>bị cáo); đã giải q</w:t>
      </w:r>
      <w:r>
        <w:rPr>
          <w:lang w:val="nl-NL"/>
        </w:rPr>
        <w:t xml:space="preserve">uyết, xét xử 269 vụ (sơ thẩm 215 vụ/333 </w:t>
      </w:r>
      <w:r>
        <w:rPr>
          <w:lang w:val="nl-NL"/>
        </w:rPr>
        <w:lastRenderedPageBreak/>
        <w:t xml:space="preserve">bị cáo; phúc thẩm 54 vụ/95 bị cáo); đạt tỷ lệ 75,4% về số vụ và 77,1% về số bị cáo </w:t>
      </w:r>
      <w:r w:rsidRPr="00A42A91">
        <w:rPr>
          <w:i/>
          <w:lang w:val="nl-NL"/>
        </w:rPr>
        <w:t>(có phụ lục Thống kê mẫu số 1A kèm theo)</w:t>
      </w:r>
      <w:r>
        <w:rPr>
          <w:lang w:val="nl-NL"/>
        </w:rPr>
        <w:t xml:space="preserve">. </w:t>
      </w:r>
    </w:p>
    <w:p w14:paraId="7D8ABBA0" w14:textId="77777777" w:rsidR="00674DA0" w:rsidRDefault="00674DA0" w:rsidP="00674DA0">
      <w:pPr>
        <w:ind w:firstLine="720"/>
        <w:jc w:val="both"/>
      </w:pPr>
      <w:r>
        <w:rPr>
          <w:lang w:val="nl-NL"/>
        </w:rPr>
        <w:t>Trong 6 tháng đầu năm 2019,</w:t>
      </w:r>
      <w:r w:rsidRPr="00D8410E">
        <w:rPr>
          <w:lang w:val="nl-NL"/>
        </w:rPr>
        <w:t xml:space="preserve"> Tòa án 2 cấp </w:t>
      </w:r>
      <w:r>
        <w:rPr>
          <w:lang w:val="nl-NL"/>
        </w:rPr>
        <w:t>đã giải quyết, xét xử sơ thẩm 10 vụ/13</w:t>
      </w:r>
      <w:r w:rsidRPr="00D8410E">
        <w:rPr>
          <w:lang w:val="nl-NL"/>
        </w:rPr>
        <w:t xml:space="preserve"> bị cáo là người chưa th</w:t>
      </w:r>
      <w:r>
        <w:rPr>
          <w:lang w:val="nl-NL"/>
        </w:rPr>
        <w:t>ành niên phạm tội, chiếm tỷ lệ 4,6</w:t>
      </w:r>
      <w:r w:rsidRPr="00D8410E">
        <w:rPr>
          <w:lang w:val="nl-NL"/>
        </w:rPr>
        <w:t>% số vụ án đã xét xử sơ thẩm</w:t>
      </w:r>
      <w:r>
        <w:rPr>
          <w:lang w:val="nl-NL"/>
        </w:rPr>
        <w:t xml:space="preserve"> (tăng 1 vụ và 1 bị cáo so với cùng kỳ năm 2018);</w:t>
      </w:r>
      <w:r w:rsidRPr="00953C9E">
        <w:t xml:space="preserve"> </w:t>
      </w:r>
      <w:r>
        <w:t>á</w:t>
      </w:r>
      <w:r w:rsidRPr="00DA69B0">
        <w:t xml:space="preserve">n tham nhũng thụ lý </w:t>
      </w:r>
      <w:r>
        <w:t>2 vụ/3 bị cáo, đã xét xử 2 vụ/ 3 bị cáo (không tăng so với cùng kỳ năm 2018)</w:t>
      </w:r>
      <w:r w:rsidRPr="00D8410E">
        <w:rPr>
          <w:lang w:val="nl-NL"/>
        </w:rPr>
        <w:t xml:space="preserve">. </w:t>
      </w:r>
      <w:r>
        <w:rPr>
          <w:lang w:val="nl-NL"/>
        </w:rPr>
        <w:t>Một số loại tội phạm xảy ra nhiều như: “Trộm cắp tài sản” 90 vụ/117 bị cáo, chiếm tỷ lệ 32,2</w:t>
      </w:r>
      <w:r w:rsidRPr="00333BAF">
        <w:rPr>
          <w:lang w:val="nl-NL"/>
        </w:rPr>
        <w:t>% so với tổng s</w:t>
      </w:r>
      <w:r>
        <w:rPr>
          <w:lang w:val="nl-NL"/>
        </w:rPr>
        <w:t>ố án đã thụ lý sơ thẩm;</w:t>
      </w:r>
      <w:r w:rsidRPr="00333BAF">
        <w:rPr>
          <w:lang w:val="nl-NL"/>
        </w:rPr>
        <w:t xml:space="preserve"> </w:t>
      </w:r>
      <w:r>
        <w:rPr>
          <w:lang w:val="nl-NL"/>
        </w:rPr>
        <w:t>các loại tội phạm về ma tuý 49 vụ/63 bị cáo, chiếm tỷ lệ 17,5% so với tổng số án thụ lý sơ thẩm; tội “Cố ý gây thương tích hoặc gây tổn hại cho sức khoẻ của người khác” 25 vụ/45 bị cáo, chiếm tỷ lệ 9 % so với tổng số án đã thụ lý sơ thẩm</w:t>
      </w:r>
      <w:r w:rsidRPr="00333BAF">
        <w:rPr>
          <w:lang w:val="nl-NL"/>
        </w:rPr>
        <w:t xml:space="preserve">; xuất hiện </w:t>
      </w:r>
      <w:r>
        <w:rPr>
          <w:lang w:val="nl-NL"/>
        </w:rPr>
        <w:t>một số tội phạm mà những năm gần đây không xảy ra</w:t>
      </w:r>
      <w:r w:rsidRPr="00333BAF">
        <w:rPr>
          <w:lang w:val="nl-NL"/>
        </w:rPr>
        <w:t xml:space="preserve"> như</w:t>
      </w:r>
      <w:r>
        <w:rPr>
          <w:lang w:val="nl-NL"/>
        </w:rPr>
        <w:t>: “Tội vứt bỏ con mới đẻ”; “Tội làm sai lệch hồ sơ vụ án”.</w:t>
      </w:r>
      <w:r w:rsidRPr="0062346C">
        <w:t xml:space="preserve"> </w:t>
      </w:r>
      <w:r>
        <w:tab/>
      </w:r>
    </w:p>
    <w:p w14:paraId="4E4CD9AB" w14:textId="77777777" w:rsidR="00674DA0" w:rsidRDefault="00674DA0" w:rsidP="00674DA0">
      <w:pPr>
        <w:ind w:firstLine="720"/>
        <w:jc w:val="both"/>
      </w:pPr>
      <w:r>
        <w:t xml:space="preserve">Trong công tác xét xử các vụ án hình sự, Toà án đã </w:t>
      </w:r>
      <w:r w:rsidRPr="00DA69B0">
        <w:t xml:space="preserve">chủ động phối hợp với các cơ quan tiến hành tố tụng trong quá trình giải quyết vụ án theo đúng các quy định của pháp luật, nhằm đảm </w:t>
      </w:r>
      <w:r>
        <w:t xml:space="preserve">bảo giải quyết nhanh, </w:t>
      </w:r>
      <w:r w:rsidRPr="00DA69B0">
        <w:t>đặc biệt là đối với các vụ án lớn, trọng điể</w:t>
      </w:r>
      <w:r>
        <w:t>m, dư luận xã hội quan tâm đều</w:t>
      </w:r>
      <w:r w:rsidRPr="00DA69B0">
        <w:t> được Tòa án khẩn trương nghiên cứu hồ sơ</w:t>
      </w:r>
      <w:r>
        <w:t> để </w:t>
      </w:r>
      <w:r w:rsidRPr="00DA69B0">
        <w:t xml:space="preserve">đưa ra xét xử kịp thời, nghiêm minh, </w:t>
      </w:r>
      <w:r>
        <w:t>phục vụ tốt nhiệm vụ chính trị của địa phương.</w:t>
      </w:r>
    </w:p>
    <w:p w14:paraId="7547485D" w14:textId="77777777" w:rsidR="00674DA0" w:rsidRPr="00933250" w:rsidRDefault="00674DA0" w:rsidP="00674DA0">
      <w:pPr>
        <w:ind w:firstLine="720"/>
        <w:jc w:val="both"/>
      </w:pPr>
      <w:r>
        <w:rPr>
          <w:bCs/>
        </w:rPr>
        <w:t xml:space="preserve">Việc trả hồ sơ cho Viện kiểm sát yêu cầu điều tra bổ sung về cơ bản đảm bảo có căn cứ, đúng pháp luật. Hình phạt mà Tòa án áp dụng đối với các bị cáo tương xứng với tính chất, mức độ hành vi phạm tội, đúng quy định pháp luật, đáp ứng được yêu cầu đấu tranh phòng, chống tội phạm trong tình hình hiện nay. Các Hội đồng xét xử đều cân nhắc kỹ lưỡng, đánh giá thận trọng khi xem xét cho bị cáo hướng án treo. </w:t>
      </w:r>
      <w:r>
        <w:t>Việc xem xét, quyết định áp dụng hình phạt khác không phải là hình phạt tù đảm bảo có căn cứ, đúng quy định pháp luật.</w:t>
      </w:r>
    </w:p>
    <w:p w14:paraId="4AB0106B" w14:textId="77777777" w:rsidR="00674DA0" w:rsidRDefault="00674DA0" w:rsidP="00674DA0">
      <w:pPr>
        <w:ind w:firstLine="720"/>
        <w:jc w:val="both"/>
        <w:rPr>
          <w:bCs/>
          <w:color w:val="000000"/>
        </w:rPr>
      </w:pPr>
      <w:r>
        <w:rPr>
          <w:bCs/>
          <w:color w:val="000000"/>
          <w:lang w:val="vi-VN"/>
        </w:rPr>
        <w:t>Việc tranh tụng tại phiên tòa được chú trọng, các Hội đồng xét xử không hạn chế thời gian giành cho tranh tụng, tôn trọng và đảm bảo cho các bên tham gia tố tụng đưa ra chứng cứ và trình bày hết các ý kiến của mình</w:t>
      </w:r>
      <w:r>
        <w:rPr>
          <w:bCs/>
          <w:color w:val="000000"/>
        </w:rPr>
        <w:t xml:space="preserve"> theo đúng tinh thần cải cách tư pháp</w:t>
      </w:r>
      <w:r>
        <w:rPr>
          <w:bCs/>
          <w:color w:val="000000"/>
          <w:lang w:val="vi-VN"/>
        </w:rPr>
        <w:t xml:space="preserve">; trên cơ sở kết quả tranh tụng, Hội đồng xét xử đưa ra các phán quyết đúng pháp luật, được dư luận xã hội ủng hộ, củng cố niềm tin vào công lý. </w:t>
      </w:r>
    </w:p>
    <w:p w14:paraId="5F72C3CB" w14:textId="77777777" w:rsidR="00674DA0" w:rsidRDefault="00674DA0" w:rsidP="00674DA0">
      <w:pPr>
        <w:ind w:firstLine="720"/>
        <w:jc w:val="both"/>
        <w:rPr>
          <w:bCs/>
          <w:color w:val="000000"/>
        </w:rPr>
      </w:pPr>
      <w:r>
        <w:rPr>
          <w:bCs/>
          <w:color w:val="000000"/>
          <w:lang w:val="vi-VN"/>
        </w:rPr>
        <w:t xml:space="preserve">Đã tổ chức </w:t>
      </w:r>
      <w:r>
        <w:rPr>
          <w:bCs/>
          <w:color w:val="000000"/>
        </w:rPr>
        <w:t>17</w:t>
      </w:r>
      <w:r>
        <w:rPr>
          <w:bCs/>
          <w:color w:val="000000"/>
          <w:lang w:val="vi-VN"/>
        </w:rPr>
        <w:t xml:space="preserve"> phiên tòa xét xử lưu động tại địa phương nơi xẩy ra vụ án; đồng thời phối hợp với cơ quan thông tin đại chúng chủ động thông tin tuyên truyền về công tác xét xử, thông qua đó nâng cao ý thức pháp luật, tinh thần đấu tranh phòng, chống tội phạm trong nhân dân. </w:t>
      </w:r>
    </w:p>
    <w:p w14:paraId="50CE244D" w14:textId="77777777" w:rsidR="00674DA0" w:rsidRPr="00085581" w:rsidRDefault="00674DA0" w:rsidP="00674DA0">
      <w:pPr>
        <w:tabs>
          <w:tab w:val="left" w:pos="4140"/>
        </w:tabs>
        <w:ind w:firstLine="720"/>
        <w:jc w:val="both"/>
        <w:rPr>
          <w:b/>
          <w:i/>
          <w:lang w:val="nl-NL"/>
        </w:rPr>
      </w:pPr>
      <w:r>
        <w:rPr>
          <w:b/>
          <w:i/>
          <w:lang w:val="nl-NL"/>
        </w:rPr>
        <w:t>c</w:t>
      </w:r>
      <w:r w:rsidRPr="00085581">
        <w:rPr>
          <w:b/>
          <w:i/>
          <w:lang w:val="nl-NL"/>
        </w:rPr>
        <w:t xml:space="preserve">. Về giải quyết các loại án khác: </w:t>
      </w:r>
    </w:p>
    <w:p w14:paraId="0F538AD9" w14:textId="77777777" w:rsidR="00674DA0" w:rsidRDefault="00674DA0" w:rsidP="00674DA0">
      <w:pPr>
        <w:tabs>
          <w:tab w:val="left" w:pos="4140"/>
        </w:tabs>
        <w:ind w:firstLine="720"/>
        <w:jc w:val="both"/>
        <w:rPr>
          <w:i/>
          <w:lang w:val="nl-NL"/>
        </w:rPr>
      </w:pPr>
      <w:r w:rsidRPr="00D8410E">
        <w:rPr>
          <w:b/>
          <w:lang w:val="nl-NL"/>
        </w:rPr>
        <w:t xml:space="preserve"> </w:t>
      </w:r>
      <w:r>
        <w:rPr>
          <w:b/>
          <w:lang w:val="nl-NL"/>
        </w:rPr>
        <w:t xml:space="preserve">- </w:t>
      </w:r>
      <w:r w:rsidRPr="00D8410E">
        <w:rPr>
          <w:lang w:val="nl-NL"/>
        </w:rPr>
        <w:t xml:space="preserve">Tòa án tỉnh và </w:t>
      </w:r>
      <w:r>
        <w:rPr>
          <w:lang w:val="nl-NL"/>
        </w:rPr>
        <w:t>Tòa án cấp huyện đã thụ lý 368 vụ án</w:t>
      </w:r>
      <w:r w:rsidRPr="00D8410E">
        <w:rPr>
          <w:lang w:val="nl-NL"/>
        </w:rPr>
        <w:t xml:space="preserve"> </w:t>
      </w:r>
      <w:r>
        <w:rPr>
          <w:lang w:val="nl-NL"/>
        </w:rPr>
        <w:t xml:space="preserve">tranh chấp </w:t>
      </w:r>
      <w:r w:rsidRPr="00D8410E">
        <w:rPr>
          <w:lang w:val="nl-NL"/>
        </w:rPr>
        <w:t>d</w:t>
      </w:r>
      <w:r>
        <w:rPr>
          <w:lang w:val="nl-NL"/>
        </w:rPr>
        <w:t>ân sự, đã giải quyết, xét xử 148 vụ, đạt tỷ lệ 40,2%; thụ lý 941 vụ án</w:t>
      </w:r>
      <w:r w:rsidRPr="00D8410E">
        <w:rPr>
          <w:lang w:val="nl-NL"/>
        </w:rPr>
        <w:t xml:space="preserve"> hôn nhân và gia</w:t>
      </w:r>
      <w:r>
        <w:rPr>
          <w:lang w:val="nl-NL"/>
        </w:rPr>
        <w:t xml:space="preserve"> đình, đã giải quyết, xét xử 640 vụ, đạt tỷ lệ 68</w:t>
      </w:r>
      <w:r w:rsidRPr="00D8410E">
        <w:rPr>
          <w:lang w:val="nl-NL"/>
        </w:rPr>
        <w:t>%; thụ</w:t>
      </w:r>
      <w:r>
        <w:rPr>
          <w:lang w:val="nl-NL"/>
        </w:rPr>
        <w:t xml:space="preserve"> lý 81 </w:t>
      </w:r>
      <w:r w:rsidRPr="00D8410E">
        <w:rPr>
          <w:lang w:val="nl-NL"/>
        </w:rPr>
        <w:t>vụ án về kinh doanh - thươ</w:t>
      </w:r>
      <w:r>
        <w:rPr>
          <w:lang w:val="nl-NL"/>
        </w:rPr>
        <w:t>ng mại, đã giải quyết, xét xử 44 vụ, đạt tỷ lệ 54,3%; thụ lý 2 vụ</w:t>
      </w:r>
      <w:r w:rsidRPr="00D8410E">
        <w:rPr>
          <w:lang w:val="nl-NL"/>
        </w:rPr>
        <w:t xml:space="preserve"> </w:t>
      </w:r>
      <w:r>
        <w:rPr>
          <w:lang w:val="nl-NL"/>
        </w:rPr>
        <w:t xml:space="preserve">án </w:t>
      </w:r>
      <w:r w:rsidRPr="00D8410E">
        <w:rPr>
          <w:lang w:val="nl-NL"/>
        </w:rPr>
        <w:t>lao động</w:t>
      </w:r>
      <w:r>
        <w:rPr>
          <w:lang w:val="nl-NL"/>
        </w:rPr>
        <w:t>, đã giải quyết 01 vụ, đạt tỷ lệ 50%</w:t>
      </w:r>
      <w:r w:rsidRPr="00D8410E">
        <w:rPr>
          <w:lang w:val="nl-NL"/>
        </w:rPr>
        <w:t>. Các vụ</w:t>
      </w:r>
      <w:r>
        <w:rPr>
          <w:lang w:val="nl-NL"/>
        </w:rPr>
        <w:t xml:space="preserve"> án</w:t>
      </w:r>
      <w:r w:rsidRPr="00D8410E">
        <w:rPr>
          <w:lang w:val="nl-NL"/>
        </w:rPr>
        <w:t xml:space="preserve"> chưa giải quyết do mới thụ lý</w:t>
      </w:r>
      <w:r>
        <w:rPr>
          <w:lang w:val="nl-NL"/>
        </w:rPr>
        <w:t>,</w:t>
      </w:r>
      <w:r w:rsidRPr="00D8410E">
        <w:rPr>
          <w:lang w:val="nl-NL"/>
        </w:rPr>
        <w:t xml:space="preserve"> đang trong thời hạn </w:t>
      </w:r>
      <w:r w:rsidRPr="00DB0696">
        <w:rPr>
          <w:lang w:val="nl-NL"/>
        </w:rPr>
        <w:t xml:space="preserve">nghiên cứu hồ sơ, chuẩn bị xét xử theo </w:t>
      </w:r>
      <w:r w:rsidRPr="00D8410E">
        <w:rPr>
          <w:lang w:val="nl-NL"/>
        </w:rPr>
        <w:t>luật định</w:t>
      </w:r>
      <w:r>
        <w:rPr>
          <w:lang w:val="nl-NL"/>
        </w:rPr>
        <w:t xml:space="preserve"> </w:t>
      </w:r>
      <w:r w:rsidRPr="00AE33D7">
        <w:rPr>
          <w:i/>
          <w:lang w:val="nl-NL"/>
        </w:rPr>
        <w:t>(có phụ lục Thống kê mẫu số 1A, 1B kèm theo).</w:t>
      </w:r>
    </w:p>
    <w:p w14:paraId="13025763" w14:textId="77777777" w:rsidR="00674DA0" w:rsidRPr="005C0ACD" w:rsidRDefault="00674DA0" w:rsidP="00674DA0">
      <w:pPr>
        <w:tabs>
          <w:tab w:val="left" w:pos="4140"/>
        </w:tabs>
        <w:ind w:firstLine="720"/>
        <w:jc w:val="both"/>
        <w:rPr>
          <w:lang w:val="nl-NL"/>
        </w:rPr>
      </w:pPr>
      <w:r>
        <w:rPr>
          <w:color w:val="000000"/>
          <w:spacing w:val="-4"/>
          <w:lang w:val="vi-VN"/>
        </w:rPr>
        <w:lastRenderedPageBreak/>
        <w:t xml:space="preserve">Trong công tác giải quyết, xét xử các vụ </w:t>
      </w:r>
      <w:r>
        <w:rPr>
          <w:color w:val="000000"/>
          <w:spacing w:val="-4"/>
        </w:rPr>
        <w:t>án trên</w:t>
      </w:r>
      <w:r>
        <w:rPr>
          <w:color w:val="000000"/>
          <w:spacing w:val="-4"/>
          <w:lang w:val="vi-VN"/>
        </w:rPr>
        <w:t xml:space="preserve">, các Tòa án đã </w:t>
      </w:r>
      <w:r>
        <w:rPr>
          <w:color w:val="000000"/>
          <w:spacing w:val="-4"/>
        </w:rPr>
        <w:t>hạn chế đến mức thấp nhất việc để các vụ án quá thời hạn giải quyết theo quy định của pháp luật; hạn chế đến mức tối đa việc tạm đình chỉ nhiều lần đối với một vụ án, tạm đình chỉ giải quyết vụ án không có căn cứ; làm tốt việc hướng dẫn các đương sự thực hiện đúng nghĩa vụ về cung cấp chứng cứ, tài liệu của vụ án; chủ động xác minh, thu thập chứng cứ trong những trường hợp cần thiết theo quy định của pháp luật; tăng cường phối hợp với các cơ quan hữu quan nhằm giải quyết tốt vụ án. Chủ động phối hợp với Viện kiểm sát và cơ quan thi hành án dân sự cùng cấp rà soát các bản án dân sự chưa thi hành để xác định trách nhiệm giữa các cơ quan và xử lý các vấn đề thuộc trách nhiệm của Tòa án.</w:t>
      </w:r>
      <w:r>
        <w:rPr>
          <w:lang w:val="nl-NL"/>
        </w:rPr>
        <w:t xml:space="preserve"> </w:t>
      </w:r>
      <w:r w:rsidRPr="00DA69B0">
        <w:t>Các Toà án đã chú trọng làm tốt công tác hoà giải, kết quả c</w:t>
      </w:r>
      <w:r>
        <w:t xml:space="preserve">ó 638/833 vụ án được hoà giải thành, đạt tỷ lệ 76,5% (vượt 16,5 so với chỉ tiêu mà Toà án nhân dân tối cao quy định). </w:t>
      </w:r>
      <w:r w:rsidRPr="00DA69B0">
        <w:t xml:space="preserve">Thông qua công tác hoà giải giúp cho việc giải quyết vụ án nhanh chóng, đồng thời góp phần củng cố mối đoàn kết trong nội bộ nhân dân. </w:t>
      </w:r>
    </w:p>
    <w:p w14:paraId="5BDF3F6A" w14:textId="77777777" w:rsidR="00674DA0" w:rsidRDefault="00674DA0" w:rsidP="00674DA0">
      <w:pPr>
        <w:ind w:firstLine="720"/>
        <w:jc w:val="both"/>
      </w:pPr>
      <w:r>
        <w:t xml:space="preserve">- Toà án nhân dân hai cấp tỉnh đã </w:t>
      </w:r>
      <w:r>
        <w:rPr>
          <w:lang w:val="nl-NL"/>
        </w:rPr>
        <w:t>thụ lý 13</w:t>
      </w:r>
      <w:r w:rsidRPr="009D6F23">
        <w:rPr>
          <w:lang w:val="nl-NL"/>
        </w:rPr>
        <w:t xml:space="preserve"> vụ án hành</w:t>
      </w:r>
      <w:r>
        <w:rPr>
          <w:lang w:val="nl-NL"/>
        </w:rPr>
        <w:t xml:space="preserve"> chính, đã giải quyết, xét xử 4 vụ, đạt tỷ lệ 30,8</w:t>
      </w:r>
      <w:r w:rsidRPr="009D6F23">
        <w:rPr>
          <w:lang w:val="nl-NL"/>
        </w:rPr>
        <w:t>%</w:t>
      </w:r>
      <w:r>
        <w:t xml:space="preserve">. </w:t>
      </w:r>
    </w:p>
    <w:p w14:paraId="1E90A62B" w14:textId="77777777" w:rsidR="00674DA0" w:rsidRPr="007757BC" w:rsidRDefault="00674DA0" w:rsidP="00674DA0">
      <w:pPr>
        <w:spacing w:before="120"/>
        <w:ind w:firstLine="720"/>
        <w:jc w:val="both"/>
        <w:rPr>
          <w:bCs/>
          <w:color w:val="000000"/>
        </w:rPr>
      </w:pPr>
      <w:r>
        <w:t xml:space="preserve">Trong quá trình giải quyết các vụ án hành chính, công tác tổ chức đối thoại được các Toà án tiếp tục chú trọng nhưng chưa đạt được kết quả như mong muốn; đồng thời, quan tâm làm tốt công tác phối hợp với các cơ quan có liên quan xây dựng hồ sơ vụ án, thu thập đầy đủ chứng cứ cần thiết nhằm đảm bảo việc giải quyết vụ án được nhanh chóng, kịp thời. </w:t>
      </w:r>
      <w:r>
        <w:rPr>
          <w:bCs/>
          <w:color w:val="000000"/>
          <w:lang w:val="vi-VN"/>
        </w:rPr>
        <w:t xml:space="preserve">Tuy nhiên, </w:t>
      </w:r>
      <w:r>
        <w:rPr>
          <w:bCs/>
          <w:color w:val="000000"/>
        </w:rPr>
        <w:t xml:space="preserve">thực tiễn cho thấy </w:t>
      </w:r>
      <w:r>
        <w:rPr>
          <w:bCs/>
          <w:color w:val="000000"/>
          <w:lang w:val="vi-VN"/>
        </w:rPr>
        <w:t xml:space="preserve">các vụ án hành chính </w:t>
      </w:r>
      <w:r>
        <w:rPr>
          <w:bCs/>
          <w:color w:val="000000"/>
        </w:rPr>
        <w:t>thường là</w:t>
      </w:r>
      <w:r>
        <w:rPr>
          <w:bCs/>
          <w:color w:val="000000"/>
          <w:lang w:val="vi-VN"/>
        </w:rPr>
        <w:t xml:space="preserve"> phức tạp, quá trình </w:t>
      </w:r>
      <w:r>
        <w:rPr>
          <w:bCs/>
          <w:color w:val="000000"/>
        </w:rPr>
        <w:t>thực hiện một số quy định của Luật tố tụng hành chính cũng gặp phải những vướng mắc, nhất là liên quan đến việc người đại diện theo ủy quyền khi tham gia quá trình giải quyết các vụ án hành chính (thường vắng mặt) theo Điều 60 Luật tố tụng hành chính (Chủ tịch UBND chỉ được uỷ quyền cho Phó Chủ tịch UBND đại diện tham gia phiên đối thoại hoặc phiên toà).</w:t>
      </w:r>
    </w:p>
    <w:p w14:paraId="2E437F3D" w14:textId="77777777" w:rsidR="00674DA0" w:rsidRPr="00073441" w:rsidRDefault="00674DA0" w:rsidP="00674DA0">
      <w:pPr>
        <w:ind w:firstLine="720"/>
        <w:jc w:val="both"/>
        <w:rPr>
          <w:b/>
        </w:rPr>
      </w:pPr>
      <w:r>
        <w:rPr>
          <w:b/>
        </w:rPr>
        <w:t>d. Về</w:t>
      </w:r>
      <w:r w:rsidRPr="00073441">
        <w:rPr>
          <w:b/>
        </w:rPr>
        <w:t xml:space="preserve"> </w:t>
      </w:r>
      <w:r>
        <w:rPr>
          <w:b/>
        </w:rPr>
        <w:t>áp dụng các biện pháp xử lý h</w:t>
      </w:r>
      <w:r w:rsidRPr="00073441">
        <w:rPr>
          <w:b/>
        </w:rPr>
        <w:t>ành chính</w:t>
      </w:r>
      <w:r>
        <w:rPr>
          <w:b/>
        </w:rPr>
        <w:t xml:space="preserve"> tại Tòa án</w:t>
      </w:r>
      <w:r w:rsidRPr="00073441">
        <w:rPr>
          <w:b/>
        </w:rPr>
        <w:t>:</w:t>
      </w:r>
    </w:p>
    <w:p w14:paraId="6E7502CD" w14:textId="77777777" w:rsidR="00674DA0" w:rsidRDefault="00674DA0" w:rsidP="00674DA0">
      <w:pPr>
        <w:ind w:firstLine="720"/>
        <w:jc w:val="both"/>
      </w:pPr>
      <w:r>
        <w:t>Trong 6 tháng đầu năm 2019</w:t>
      </w:r>
      <w:r w:rsidRPr="00073441">
        <w:t xml:space="preserve">, các Tòa án cấp huyện </w:t>
      </w:r>
      <w:r>
        <w:t xml:space="preserve">đã giải quyết 01 trường hợp bị đề nghị áp dụng các biện pháp xử lý hành chính, cụ thể: có 01 trường hợp áp dụng biện pháp đưa vào trường giáo dưỡng </w:t>
      </w:r>
      <w:r w:rsidRPr="00340983">
        <w:rPr>
          <w:i/>
        </w:rPr>
        <w:t>(có phụ lục Thống kê mẫu số 1C kèm theo).</w:t>
      </w:r>
    </w:p>
    <w:p w14:paraId="19F962CB" w14:textId="77777777" w:rsidR="00674DA0" w:rsidRDefault="00674DA0" w:rsidP="00674DA0">
      <w:pPr>
        <w:ind w:firstLine="720"/>
        <w:jc w:val="both"/>
        <w:rPr>
          <w:b/>
          <w:bCs/>
          <w:i/>
          <w:iCs/>
        </w:rPr>
      </w:pPr>
      <w:r w:rsidRPr="00DA69B0">
        <w:rPr>
          <w:b/>
          <w:bCs/>
          <w:i/>
          <w:iCs/>
        </w:rPr>
        <w:t>1.2. Hạn chế, thiếu sót</w:t>
      </w:r>
      <w:r>
        <w:rPr>
          <w:b/>
          <w:bCs/>
          <w:i/>
          <w:iCs/>
        </w:rPr>
        <w:t xml:space="preserve"> </w:t>
      </w:r>
    </w:p>
    <w:p w14:paraId="0F4FC404" w14:textId="77777777" w:rsidR="00674DA0" w:rsidRDefault="00674DA0" w:rsidP="00674DA0">
      <w:pPr>
        <w:tabs>
          <w:tab w:val="left" w:pos="851"/>
        </w:tabs>
        <w:ind w:right="-6"/>
        <w:jc w:val="both"/>
        <w:outlineLvl w:val="0"/>
      </w:pPr>
      <w:r>
        <w:tab/>
        <w:t xml:space="preserve">Bên cạnh những kết quả đã đạt được, công tác giải quyết, xét xử các loại án trong 6 tháng qua vẫn còn hạn chế, thiếu sót như: </w:t>
      </w:r>
    </w:p>
    <w:p w14:paraId="021F7EC3" w14:textId="77777777" w:rsidR="00674DA0" w:rsidRDefault="00674DA0" w:rsidP="00674DA0">
      <w:pPr>
        <w:ind w:firstLine="720"/>
        <w:jc w:val="both"/>
        <w:rPr>
          <w:bCs/>
          <w:color w:val="000000"/>
        </w:rPr>
      </w:pPr>
      <w:r>
        <w:rPr>
          <w:bCs/>
          <w:color w:val="000000"/>
        </w:rPr>
        <w:t>- Vẫn còn tình trạng chậm gửi bản án, quyết định cho các cơ quan liên quan hoặc chậm tống đạt các văn bản tố tụng cho người tham gia tố tụng; một số bản án có sai sót về số liệu, thông tin người tham gia tố tụng nên phải đính chính, giải thích.</w:t>
      </w:r>
    </w:p>
    <w:p w14:paraId="0D4E9FE3" w14:textId="77777777" w:rsidR="00674DA0" w:rsidRDefault="00674DA0" w:rsidP="00674DA0">
      <w:pPr>
        <w:ind w:firstLine="720"/>
        <w:jc w:val="both"/>
        <w:rPr>
          <w:bCs/>
          <w:color w:val="000000"/>
          <w:lang w:val="vi-VN"/>
        </w:rPr>
      </w:pPr>
      <w:r>
        <w:rPr>
          <w:bCs/>
          <w:color w:val="000000"/>
          <w:lang w:val="vi-VN"/>
        </w:rPr>
        <w:t xml:space="preserve">- Chất lượng tranh tụng tại phiên tòa </w:t>
      </w:r>
      <w:r>
        <w:rPr>
          <w:bCs/>
          <w:color w:val="000000"/>
        </w:rPr>
        <w:t xml:space="preserve">đã được nâng lên, song vẫn </w:t>
      </w:r>
      <w:r>
        <w:rPr>
          <w:bCs/>
          <w:color w:val="000000"/>
          <w:lang w:val="vi-VN"/>
        </w:rPr>
        <w:t xml:space="preserve">chưa đáp ứng được yêu cầu của cải cách tư pháp. Nguyên nhân là do trình độ nhận thức về pháp luật của bị cáo, đương sự còn </w:t>
      </w:r>
      <w:r>
        <w:rPr>
          <w:bCs/>
          <w:color w:val="000000"/>
        </w:rPr>
        <w:t>còn</w:t>
      </w:r>
      <w:r>
        <w:rPr>
          <w:bCs/>
          <w:color w:val="000000"/>
          <w:lang w:val="vi-VN"/>
        </w:rPr>
        <w:t xml:space="preserve"> hạn chế…. nên không biết tự bào chữa, tranh luận; số lượng các vụ án có người bào chữa là </w:t>
      </w:r>
      <w:r>
        <w:rPr>
          <w:bCs/>
          <w:color w:val="000000"/>
        </w:rPr>
        <w:t>L</w:t>
      </w:r>
      <w:r>
        <w:rPr>
          <w:bCs/>
          <w:color w:val="000000"/>
          <w:lang w:val="vi-VN"/>
        </w:rPr>
        <w:t xml:space="preserve">uật sư, </w:t>
      </w:r>
      <w:r>
        <w:rPr>
          <w:bCs/>
          <w:color w:val="000000"/>
        </w:rPr>
        <w:t>T</w:t>
      </w:r>
      <w:r>
        <w:rPr>
          <w:bCs/>
          <w:color w:val="000000"/>
          <w:lang w:val="vi-VN"/>
        </w:rPr>
        <w:t>rợ giúp viên pháp lý tham gia tố tụng còn ít, chủ yếu là do Tòa án chỉ định theo quy định.</w:t>
      </w:r>
    </w:p>
    <w:p w14:paraId="1C587EEB" w14:textId="77777777" w:rsidR="00674DA0" w:rsidRDefault="00674DA0" w:rsidP="00674DA0">
      <w:pPr>
        <w:ind w:firstLine="720"/>
        <w:jc w:val="both"/>
        <w:rPr>
          <w:bCs/>
          <w:color w:val="000000"/>
        </w:rPr>
      </w:pPr>
      <w:r>
        <w:rPr>
          <w:bCs/>
          <w:color w:val="000000"/>
        </w:rPr>
        <w:lastRenderedPageBreak/>
        <w:t xml:space="preserve">- Trong xét xử các loại án vẫn còn tình trạng </w:t>
      </w:r>
      <w:r w:rsidRPr="008A08BA">
        <w:rPr>
          <w:bCs/>
          <w:color w:val="000000"/>
        </w:rPr>
        <w:t xml:space="preserve">xác định </w:t>
      </w:r>
      <w:r>
        <w:rPr>
          <w:bCs/>
          <w:color w:val="000000"/>
        </w:rPr>
        <w:t xml:space="preserve">thiếu người tham gia tố tụng hoặc </w:t>
      </w:r>
      <w:r w:rsidRPr="008A08BA">
        <w:rPr>
          <w:bCs/>
          <w:color w:val="000000"/>
        </w:rPr>
        <w:t xml:space="preserve">sai </w:t>
      </w:r>
      <w:r>
        <w:rPr>
          <w:bCs/>
          <w:color w:val="000000"/>
        </w:rPr>
        <w:t xml:space="preserve">tư cách người tham gia tố tụng; </w:t>
      </w:r>
      <w:r w:rsidRPr="008A08BA">
        <w:rPr>
          <w:bCs/>
          <w:color w:val="000000"/>
        </w:rPr>
        <w:t>lúng túng trong xác định tội danh … dẫn đến vẫn còn án bị sửa, bị hủy do lỗi chủ quan</w:t>
      </w:r>
      <w:r>
        <w:rPr>
          <w:bCs/>
          <w:color w:val="000000"/>
        </w:rPr>
        <w:t xml:space="preserve"> của Thẩm phán.</w:t>
      </w:r>
    </w:p>
    <w:p w14:paraId="0A09B15E" w14:textId="77777777" w:rsidR="00674DA0" w:rsidRDefault="00674DA0" w:rsidP="00674DA0">
      <w:pPr>
        <w:ind w:firstLine="720"/>
        <w:jc w:val="both"/>
        <w:rPr>
          <w:b/>
          <w:iCs/>
        </w:rPr>
      </w:pPr>
      <w:r w:rsidRPr="00E069E6">
        <w:rPr>
          <w:b/>
          <w:iCs/>
        </w:rPr>
        <w:t>2</w:t>
      </w:r>
      <w:r>
        <w:rPr>
          <w:b/>
          <w:iCs/>
        </w:rPr>
        <w:t>. Công tác thi hành án hình sự</w:t>
      </w:r>
    </w:p>
    <w:p w14:paraId="30E609A0" w14:textId="77777777" w:rsidR="00674DA0" w:rsidRPr="00D8410E" w:rsidRDefault="00674DA0" w:rsidP="00674DA0">
      <w:pPr>
        <w:ind w:firstLine="720"/>
        <w:jc w:val="both"/>
        <w:rPr>
          <w:lang w:val="nl-NL"/>
        </w:rPr>
      </w:pPr>
      <w:r w:rsidRPr="00D8410E">
        <w:rPr>
          <w:lang w:val="nl-NL"/>
        </w:rPr>
        <w:t xml:space="preserve">Tòa án hai cấp đã ra quyết định thi hành án hình sự </w:t>
      </w:r>
      <w:r>
        <w:rPr>
          <w:lang w:val="nl-NL"/>
        </w:rPr>
        <w:t>đối với 398</w:t>
      </w:r>
      <w:r w:rsidRPr="00D8410E">
        <w:rPr>
          <w:lang w:val="nl-NL"/>
        </w:rPr>
        <w:t xml:space="preserve"> bị án đã có hiệu lực pháp luật, đạt tỷ lệ 100%. Trong đó:</w:t>
      </w:r>
    </w:p>
    <w:p w14:paraId="040C103D" w14:textId="77777777" w:rsidR="00674DA0" w:rsidRDefault="00674DA0" w:rsidP="00674DA0">
      <w:pPr>
        <w:ind w:firstLine="720"/>
        <w:jc w:val="both"/>
        <w:rPr>
          <w:lang w:val="nl-NL"/>
        </w:rPr>
      </w:pPr>
      <w:r w:rsidRPr="00D8410E">
        <w:rPr>
          <w:lang w:val="nl-NL"/>
        </w:rPr>
        <w:t>+ Tòa</w:t>
      </w:r>
      <w:r>
        <w:rPr>
          <w:lang w:val="nl-NL"/>
        </w:rPr>
        <w:t xml:space="preserve"> án nhân dân tỉnh đã ban hành 23 </w:t>
      </w:r>
      <w:r w:rsidRPr="00D8410E">
        <w:rPr>
          <w:lang w:val="nl-NL"/>
        </w:rPr>
        <w:t>qu</w:t>
      </w:r>
      <w:r>
        <w:rPr>
          <w:lang w:val="nl-NL"/>
        </w:rPr>
        <w:t>yết định (đạt tỷ lệ 100%),</w:t>
      </w:r>
      <w:r w:rsidRPr="00D161AC">
        <w:rPr>
          <w:lang w:val="nl-NL"/>
        </w:rPr>
        <w:t xml:space="preserve"> </w:t>
      </w:r>
      <w:r>
        <w:rPr>
          <w:lang w:val="nl-NL"/>
        </w:rPr>
        <w:t>ủy thác 02</w:t>
      </w:r>
      <w:r w:rsidRPr="00D8410E">
        <w:rPr>
          <w:lang w:val="nl-NL"/>
        </w:rPr>
        <w:t xml:space="preserve"> trường hợp</w:t>
      </w:r>
      <w:r>
        <w:rPr>
          <w:lang w:val="nl-NL"/>
        </w:rPr>
        <w:t>, hoãn thi hành án 01 trường hợp và tạm đình chỉ 01 trường hợp</w:t>
      </w:r>
      <w:r w:rsidRPr="00D8410E">
        <w:rPr>
          <w:lang w:val="nl-NL"/>
        </w:rPr>
        <w:t>.</w:t>
      </w:r>
    </w:p>
    <w:p w14:paraId="5DD7AC78" w14:textId="77777777" w:rsidR="00674DA0" w:rsidRPr="00D8410E" w:rsidRDefault="00674DA0" w:rsidP="00674DA0">
      <w:pPr>
        <w:ind w:firstLine="720"/>
        <w:jc w:val="both"/>
        <w:rPr>
          <w:lang w:val="nl-NL"/>
        </w:rPr>
      </w:pPr>
      <w:r w:rsidRPr="00D8410E">
        <w:rPr>
          <w:lang w:val="nl-NL"/>
        </w:rPr>
        <w:t>+ Tòa án nh</w:t>
      </w:r>
      <w:r>
        <w:rPr>
          <w:lang w:val="nl-NL"/>
        </w:rPr>
        <w:t xml:space="preserve">ân dân cấp huyện đã ban hành 375 </w:t>
      </w:r>
      <w:r w:rsidRPr="00D8410E">
        <w:rPr>
          <w:lang w:val="nl-NL"/>
        </w:rPr>
        <w:t>quyết định</w:t>
      </w:r>
      <w:r>
        <w:rPr>
          <w:lang w:val="nl-NL"/>
        </w:rPr>
        <w:t xml:space="preserve"> (đạt tỷ lệ 100%), có 15 </w:t>
      </w:r>
      <w:r w:rsidRPr="00D8410E">
        <w:rPr>
          <w:lang w:val="nl-NL"/>
        </w:rPr>
        <w:t>trường</w:t>
      </w:r>
      <w:r>
        <w:rPr>
          <w:lang w:val="nl-NL"/>
        </w:rPr>
        <w:t xml:space="preserve"> hợp hoãn thi hành án, ủy thác 41 </w:t>
      </w:r>
      <w:r w:rsidRPr="00D8410E">
        <w:rPr>
          <w:lang w:val="nl-NL"/>
        </w:rPr>
        <w:t>trường hợp</w:t>
      </w:r>
      <w:r>
        <w:rPr>
          <w:lang w:val="nl-NL"/>
        </w:rPr>
        <w:t>.</w:t>
      </w:r>
    </w:p>
    <w:p w14:paraId="3600518C" w14:textId="77777777" w:rsidR="00674DA0" w:rsidRDefault="00674DA0" w:rsidP="00674DA0">
      <w:pPr>
        <w:ind w:firstLine="720"/>
        <w:jc w:val="both"/>
        <w:rPr>
          <w:lang w:val="nl-NL"/>
        </w:rPr>
      </w:pPr>
      <w:r w:rsidRPr="00D8410E">
        <w:rPr>
          <w:lang w:val="nl-NL"/>
        </w:rPr>
        <w:t>- Lập hồ sơ và ra quyết định giảm thời hạ</w:t>
      </w:r>
      <w:r>
        <w:rPr>
          <w:lang w:val="nl-NL"/>
        </w:rPr>
        <w:t xml:space="preserve">n chấp hành hình phạt tù cho 772 </w:t>
      </w:r>
      <w:r w:rsidRPr="00D8410E">
        <w:rPr>
          <w:lang w:val="nl-NL"/>
        </w:rPr>
        <w:t>phạm nhân đang chấp hành án đúng quy định.</w:t>
      </w:r>
    </w:p>
    <w:p w14:paraId="454530D7" w14:textId="77777777" w:rsidR="00674DA0" w:rsidRPr="00584934" w:rsidRDefault="00674DA0" w:rsidP="00674DA0">
      <w:pPr>
        <w:ind w:firstLine="720"/>
        <w:jc w:val="both"/>
        <w:rPr>
          <w:lang w:val="nl-NL"/>
        </w:rPr>
      </w:pPr>
      <w:r w:rsidRPr="00D8410E">
        <w:rPr>
          <w:lang w:val="nl-NL"/>
        </w:rPr>
        <w:t xml:space="preserve">- Lập hồ sơ và ra quyết định </w:t>
      </w:r>
      <w:r>
        <w:rPr>
          <w:lang w:val="nl-NL"/>
        </w:rPr>
        <w:t xml:space="preserve">rút ngắn thời gian thử thách của án treo cho  25 </w:t>
      </w:r>
      <w:r w:rsidRPr="00584934">
        <w:rPr>
          <w:lang w:val="nl-NL"/>
        </w:rPr>
        <w:t>trường hợp đang thi hành án treo đúng quy định.</w:t>
      </w:r>
    </w:p>
    <w:p w14:paraId="0A6F7ECD" w14:textId="77777777" w:rsidR="00674DA0" w:rsidRPr="00584934" w:rsidRDefault="00674DA0" w:rsidP="00674DA0">
      <w:pPr>
        <w:ind w:firstLine="720"/>
        <w:jc w:val="both"/>
      </w:pPr>
      <w:r w:rsidRPr="00584934">
        <w:t>Toà án nhân dân hai cấp không để trường hợp nào chậm hoặc bỏ lọt chưa ra quyết định thi hành án. Các quyết định thi hành án và hồ sơ thi hành án đều được giao cho Viện kiểm sát, cơ quan Công an, Trại giam và người bị kết án đầy đủ, theo đúng quy định của Luật thi hành án hình sự.</w:t>
      </w:r>
      <w:r>
        <w:t xml:space="preserve"> Các trường hợp được hoãn và tạm đình chỉ</w:t>
      </w:r>
      <w:r w:rsidRPr="00584934">
        <w:t xml:space="preserve"> đều đảm bảo có căn cứ, đúng pháp luật. Hồ sơ, sổ sách theo dõi thi hành án được lưu trữ đầy đủ, đúng quy định. </w:t>
      </w:r>
    </w:p>
    <w:p w14:paraId="72603804" w14:textId="77777777" w:rsidR="00674DA0" w:rsidRPr="00584934" w:rsidRDefault="00674DA0" w:rsidP="00674DA0">
      <w:pPr>
        <w:ind w:firstLine="720"/>
        <w:jc w:val="both"/>
        <w:rPr>
          <w:lang w:val="nb-NO"/>
        </w:rPr>
      </w:pPr>
      <w:r>
        <w:t>Tòa án nhân dân hai cấp đã</w:t>
      </w:r>
      <w:r w:rsidRPr="00584934">
        <w:t xml:space="preserve"> phối hợp chặt chẽ với cơ quan Công an, Viện kiểm sát cùng cấp trong việc thực hiện các quy định của pháp luật trong công tác thi hành án hình sự. Rà soát danh sách những người đã có quyết định thi hành án phạt tù hiện còn tại ngoại chưa bị bắt thi hành án để đôn đốc bắt thi hành án; phối hợp tốt với chính quyền địa phương trong việc quản lý các đối tượng thi hành án treo, cải tạo không giam giữ ở địa phương. </w:t>
      </w:r>
      <w:r w:rsidRPr="00584934">
        <w:rPr>
          <w:lang w:val="nb-NO"/>
        </w:rPr>
        <w:t xml:space="preserve">Công tác giảm án, tha tù trước thời hạn đã thực hiện đúng theo quy định. </w:t>
      </w:r>
    </w:p>
    <w:p w14:paraId="7051DE79" w14:textId="77777777" w:rsidR="00674DA0" w:rsidRPr="00584934" w:rsidRDefault="00674DA0" w:rsidP="00674DA0">
      <w:pPr>
        <w:pStyle w:val="BodyText"/>
        <w:ind w:right="-32" w:firstLine="720"/>
        <w:jc w:val="both"/>
        <w:rPr>
          <w:rFonts w:ascii="Times New Roman" w:hAnsi="Times New Roman"/>
          <w:b w:val="0"/>
          <w:szCs w:val="28"/>
        </w:rPr>
      </w:pPr>
      <w:r w:rsidRPr="00584934">
        <w:rPr>
          <w:rFonts w:ascii="Times New Roman" w:hAnsi="Times New Roman"/>
          <w:b w:val="0"/>
          <w:szCs w:val="28"/>
        </w:rPr>
        <w:t>(có phụ lục Thống kê biểu mẫu số 2 kèm theo).</w:t>
      </w:r>
    </w:p>
    <w:p w14:paraId="0FD0ACE4" w14:textId="77777777" w:rsidR="00674DA0" w:rsidRDefault="00674DA0" w:rsidP="00674DA0">
      <w:pPr>
        <w:ind w:firstLine="720"/>
        <w:jc w:val="both"/>
        <w:rPr>
          <w:b/>
          <w:bCs/>
        </w:rPr>
      </w:pPr>
      <w:r>
        <w:rPr>
          <w:b/>
          <w:bCs/>
        </w:rPr>
        <w:t>3</w:t>
      </w:r>
      <w:r w:rsidRPr="00F24477">
        <w:rPr>
          <w:b/>
          <w:bCs/>
        </w:rPr>
        <w:t xml:space="preserve">. </w:t>
      </w:r>
      <w:r>
        <w:rPr>
          <w:b/>
          <w:iCs/>
        </w:rPr>
        <w:t>Công tác Hội thẩm nhân dân</w:t>
      </w:r>
      <w:r w:rsidRPr="00F24477">
        <w:rPr>
          <w:b/>
          <w:bCs/>
        </w:rPr>
        <w:t xml:space="preserve"> </w:t>
      </w:r>
    </w:p>
    <w:p w14:paraId="53854DB7" w14:textId="77777777" w:rsidR="00674DA0" w:rsidRPr="00A85B98" w:rsidRDefault="00674DA0" w:rsidP="00674DA0">
      <w:pPr>
        <w:ind w:firstLine="720"/>
        <w:jc w:val="both"/>
        <w:rPr>
          <w:bCs/>
        </w:rPr>
      </w:pPr>
      <w:r w:rsidRPr="00A85B98">
        <w:rPr>
          <w:bCs/>
        </w:rPr>
        <w:t xml:space="preserve">Toà án </w:t>
      </w:r>
      <w:r>
        <w:rPr>
          <w:bCs/>
        </w:rPr>
        <w:t xml:space="preserve">đã </w:t>
      </w:r>
      <w:r w:rsidRPr="00A85B98">
        <w:rPr>
          <w:bCs/>
        </w:rPr>
        <w:t xml:space="preserve">phối hợp với </w:t>
      </w:r>
      <w:r>
        <w:rPr>
          <w:bCs/>
        </w:rPr>
        <w:t>lãnh đạo Đ</w:t>
      </w:r>
      <w:r w:rsidRPr="00A85B98">
        <w:rPr>
          <w:bCs/>
        </w:rPr>
        <w:t>oàn Hội thẩm</w:t>
      </w:r>
      <w:r>
        <w:rPr>
          <w:bCs/>
        </w:rPr>
        <w:t xml:space="preserve"> duy trì tổ chức họp định kỳ về công tác quản lý, theo dõi Hội thẩm và giới thiệu Hội thẩm tham gia xét xử. Việc phân công Hội thẩm tham gia phiên toà đảm bảo thống nhất, khoa học, dựa trên cơ sở, vai trò, chức năng, nhiệm vụ và tính chất công việc theo đúng quy chế tổ chức và hoạt động của Đoàn Hội thẩm.</w:t>
      </w:r>
    </w:p>
    <w:p w14:paraId="3C0349BC" w14:textId="77777777" w:rsidR="00674DA0" w:rsidRDefault="00674DA0" w:rsidP="00674DA0">
      <w:pPr>
        <w:ind w:firstLine="720"/>
        <w:jc w:val="both"/>
        <w:rPr>
          <w:spacing w:val="-2"/>
          <w:lang w:val="nl-NL"/>
        </w:rPr>
      </w:pPr>
      <w:r>
        <w:rPr>
          <w:spacing w:val="-2"/>
          <w:lang w:val="nl-NL"/>
        </w:rPr>
        <w:t>T</w:t>
      </w:r>
      <w:r w:rsidRPr="00D8410E">
        <w:rPr>
          <w:spacing w:val="-2"/>
          <w:lang w:val="nl-NL"/>
        </w:rPr>
        <w:t xml:space="preserve">rong </w:t>
      </w:r>
      <w:r>
        <w:rPr>
          <w:spacing w:val="-2"/>
          <w:lang w:val="nl-NL"/>
        </w:rPr>
        <w:t>6 tháng đầu năm</w:t>
      </w:r>
      <w:r w:rsidRPr="00D8410E">
        <w:rPr>
          <w:spacing w:val="-2"/>
          <w:lang w:val="nl-NL"/>
        </w:rPr>
        <w:t xml:space="preserve"> </w:t>
      </w:r>
      <w:r>
        <w:rPr>
          <w:spacing w:val="-2"/>
          <w:lang w:val="nl-NL"/>
        </w:rPr>
        <w:t>2019, Hội thẩm nhân dân hai cấp được phân công tham gia xét xử đều bố trí thời gian nghiên cứu hồ sơ và tham gia xét xử khi có quyết định phân công nhất là các vụ án được Toà án đưa đi xét xử lưu động tại địa phương, không có vụ án nào bị hoãn phiên toà vì lý do vắng Hội thẩm. Các vị Hội thẩm nhân dân đã làm tốt vai trò, nhiệm vụ của mình, đảm bảo thực hiện tốt công tác xét xử của Toà án.</w:t>
      </w:r>
    </w:p>
    <w:p w14:paraId="65308C7C" w14:textId="77777777" w:rsidR="00674DA0" w:rsidRDefault="00674DA0" w:rsidP="00674DA0">
      <w:pPr>
        <w:ind w:firstLine="720"/>
        <w:jc w:val="both"/>
        <w:rPr>
          <w:lang w:val="nl-NL"/>
        </w:rPr>
      </w:pPr>
      <w:r>
        <w:rPr>
          <w:spacing w:val="-2"/>
          <w:lang w:val="nl-NL"/>
        </w:rPr>
        <w:t xml:space="preserve">Toà án cũng đã thực hiện tốt các chế độ, chính sách đối với Hội thẩm nhân dân hai cấp, từ ngày 08/5/2019 đến ngày 09/5/2019 </w:t>
      </w:r>
      <w:r w:rsidRPr="00D8410E">
        <w:rPr>
          <w:spacing w:val="-2"/>
          <w:lang w:val="nl-NL"/>
        </w:rPr>
        <w:t>Tò</w:t>
      </w:r>
      <w:r>
        <w:rPr>
          <w:spacing w:val="-2"/>
          <w:lang w:val="nl-NL"/>
        </w:rPr>
        <w:t>a án nhân dân tỉnh đã triển khai tổ chức</w:t>
      </w:r>
      <w:r w:rsidRPr="00D8410E">
        <w:rPr>
          <w:spacing w:val="-2"/>
          <w:lang w:val="nl-NL"/>
        </w:rPr>
        <w:t xml:space="preserve"> </w:t>
      </w:r>
      <w:r>
        <w:rPr>
          <w:spacing w:val="-2"/>
          <w:lang w:val="nl-NL"/>
        </w:rPr>
        <w:t>Hội nghị tập huấn</w:t>
      </w:r>
      <w:r w:rsidRPr="00D8410E">
        <w:rPr>
          <w:spacing w:val="-2"/>
          <w:lang w:val="nl-NL"/>
        </w:rPr>
        <w:t xml:space="preserve"> nghiệp vụ</w:t>
      </w:r>
      <w:r>
        <w:rPr>
          <w:lang w:val="nl-NL"/>
        </w:rPr>
        <w:t xml:space="preserve"> năm 2019 cho Hội thẩm nhân dân 2 cấp (trên 140 </w:t>
      </w:r>
      <w:r>
        <w:rPr>
          <w:lang w:val="nl-NL"/>
        </w:rPr>
        <w:lastRenderedPageBreak/>
        <w:t>hội thẩm tham gia), qua đó góp phần nâng cao chất lượng xét xử cho Hội thẩm nhân dân.</w:t>
      </w:r>
    </w:p>
    <w:p w14:paraId="128A4D10" w14:textId="77777777" w:rsidR="00674DA0" w:rsidRDefault="00674DA0" w:rsidP="00674DA0">
      <w:pPr>
        <w:ind w:firstLine="720"/>
        <w:jc w:val="both"/>
        <w:rPr>
          <w:b/>
          <w:bCs/>
          <w:lang w:val="nl-NL"/>
        </w:rPr>
      </w:pPr>
      <w:r>
        <w:rPr>
          <w:b/>
          <w:bCs/>
          <w:lang w:val="nl-NL"/>
        </w:rPr>
        <w:t>4. Công tác xây dựng Toà án nhân dân hai cấp</w:t>
      </w:r>
    </w:p>
    <w:p w14:paraId="5EBB1462" w14:textId="77777777" w:rsidR="00674DA0" w:rsidRDefault="00674DA0" w:rsidP="00674DA0">
      <w:pPr>
        <w:pStyle w:val="NormalWeb"/>
        <w:shd w:val="clear" w:color="auto" w:fill="FFFFFF"/>
        <w:spacing w:before="0" w:beforeAutospacing="0" w:after="0" w:afterAutospacing="0"/>
        <w:ind w:firstLine="709"/>
        <w:jc w:val="both"/>
        <w:rPr>
          <w:bCs/>
          <w:iCs/>
          <w:color w:val="000000" w:themeColor="text1"/>
          <w:sz w:val="28"/>
          <w:szCs w:val="28"/>
        </w:rPr>
      </w:pPr>
      <w:r>
        <w:rPr>
          <w:lang w:val="nl-NL"/>
        </w:rPr>
        <w:t>-</w:t>
      </w:r>
      <w:r w:rsidRPr="00AF7BB5">
        <w:rPr>
          <w:bCs/>
          <w:iCs/>
          <w:color w:val="000000" w:themeColor="text1"/>
        </w:rPr>
        <w:t xml:space="preserve"> </w:t>
      </w:r>
      <w:r>
        <w:rPr>
          <w:bCs/>
          <w:iCs/>
          <w:color w:val="000000" w:themeColor="text1"/>
          <w:sz w:val="28"/>
          <w:szCs w:val="28"/>
        </w:rPr>
        <w:t xml:space="preserve">Thực hiện quy định của TAND tối cao và của Tỉnh ủy về việc bố trí Chánh án TAND cấp huyện không phải là người địa phương, tính đến nay Ban Cán sự Đảng Tòa án nhân dân tỉnh Quảng Bình đã làm quy trình và đề nghị TAND tối cao bổ nhiệm, điều động bố trí Chánh án TAND cấp huyện không phải là người địa phương 5/8 đơn vị TAND cấp huyện; hiện còn 3 đơn vị TAND cấp huyện Chánh án là người địa phương (huyện Minh Hóa, huyện Tuyên Hóa là 2 huyện miền núi đặc thù, còn lại huyện Quảng Ninh đồng chí Chánh án đến năm 2020 là hết tuổi quy hoạch không cơ cấu vào cấp ủy nhiệm kỳ 2020 - 2025). Chuyển đổi vị trí công tác được quan tâm thực hiện thường xuyên, cứ 3 năm chuyển đổi vị trí công tác một lần đối với Thư ký TAND tỉnh, trong 6 tháng đầu năm 2019 TAND tỉnh đã thực hiện việc chuyển đổi vị trí công tác cho 6 trường hợp Thư ký Tòa án; </w:t>
      </w:r>
    </w:p>
    <w:p w14:paraId="4A09EEEF" w14:textId="77777777" w:rsidR="00674DA0" w:rsidRDefault="00674DA0" w:rsidP="00674DA0">
      <w:pPr>
        <w:ind w:firstLine="709"/>
        <w:jc w:val="both"/>
        <w:rPr>
          <w:b/>
          <w:sz w:val="26"/>
          <w:szCs w:val="26"/>
        </w:rPr>
      </w:pPr>
      <w:r>
        <w:t xml:space="preserve">- Toà án tỉnh đã cử nhiều </w:t>
      </w:r>
      <w:r w:rsidRPr="007324CC">
        <w:t>Thẩm phán, Thư ký Tòa án, chuyên viên tham gia tập huấn nghiệp vụ do Tòa án nhân dân tối cao</w:t>
      </w:r>
      <w:r>
        <w:t xml:space="preserve"> tổ chức; c</w:t>
      </w:r>
      <w:r>
        <w:rPr>
          <w:lang w:val="nl-NL"/>
        </w:rPr>
        <w:t xml:space="preserve">ử 07 </w:t>
      </w:r>
      <w:r w:rsidRPr="007324CC">
        <w:rPr>
          <w:lang w:val="nl-NL"/>
        </w:rPr>
        <w:t>cán bộ đi đào tạo thạc</w:t>
      </w:r>
      <w:r>
        <w:rPr>
          <w:lang w:val="nl-NL"/>
        </w:rPr>
        <w:t xml:space="preserve"> sỹ (Tính đến tháng 5/2019 có 51</w:t>
      </w:r>
      <w:r w:rsidRPr="007324CC">
        <w:rPr>
          <w:lang w:val="nl-NL"/>
        </w:rPr>
        <w:t xml:space="preserve"> đồng chí được đào tạo trình độ thạc sỹ, trong đó có </w:t>
      </w:r>
      <w:r>
        <w:rPr>
          <w:lang w:val="nl-NL"/>
        </w:rPr>
        <w:t>33</w:t>
      </w:r>
      <w:r w:rsidRPr="007324CC">
        <w:rPr>
          <w:lang w:val="nl-NL"/>
        </w:rPr>
        <w:t xml:space="preserve"> đồng chí đã có bằng thạc sỹ và </w:t>
      </w:r>
      <w:r>
        <w:rPr>
          <w:lang w:val="nl-NL"/>
        </w:rPr>
        <w:t>1</w:t>
      </w:r>
      <w:r w:rsidRPr="007324CC">
        <w:rPr>
          <w:lang w:val="nl-NL"/>
        </w:rPr>
        <w:t xml:space="preserve">8 đồng chí đang học thạc </w:t>
      </w:r>
      <w:r>
        <w:rPr>
          <w:lang w:val="nl-NL"/>
        </w:rPr>
        <w:t>sỹ) n</w:t>
      </w:r>
      <w:r w:rsidRPr="007324CC">
        <w:t xml:space="preserve">hằm nâng cao </w:t>
      </w:r>
      <w:r>
        <w:t xml:space="preserve">trình độ chuyên môn, </w:t>
      </w:r>
      <w:r w:rsidRPr="007324CC">
        <w:t xml:space="preserve">nghiệp vụ </w:t>
      </w:r>
      <w:r>
        <w:t>cho cán bộ, công chức, phục vụ cho</w:t>
      </w:r>
      <w:r w:rsidRPr="007324CC">
        <w:t xml:space="preserve"> công tác xét xử</w:t>
      </w:r>
      <w:r>
        <w:t xml:space="preserve"> của Toà án</w:t>
      </w:r>
      <w:r w:rsidRPr="007324CC">
        <w:t>.</w:t>
      </w:r>
      <w:r w:rsidRPr="00A66DB1">
        <w:rPr>
          <w:b/>
          <w:sz w:val="26"/>
          <w:szCs w:val="26"/>
        </w:rPr>
        <w:t xml:space="preserve">       </w:t>
      </w:r>
    </w:p>
    <w:p w14:paraId="7A201FE9" w14:textId="77777777" w:rsidR="00674DA0" w:rsidRDefault="00674DA0" w:rsidP="00674DA0">
      <w:pPr>
        <w:ind w:left="57" w:firstLine="652"/>
        <w:jc w:val="both"/>
        <w:rPr>
          <w:b/>
          <w:bCs/>
          <w:sz w:val="26"/>
          <w:szCs w:val="26"/>
        </w:rPr>
      </w:pPr>
      <w:r w:rsidRPr="00A66DB1">
        <w:rPr>
          <w:b/>
          <w:sz w:val="26"/>
          <w:szCs w:val="26"/>
        </w:rPr>
        <w:t xml:space="preserve"> II</w:t>
      </w:r>
      <w:r w:rsidRPr="00A66DB1">
        <w:rPr>
          <w:b/>
          <w:bCs/>
          <w:sz w:val="26"/>
          <w:szCs w:val="26"/>
        </w:rPr>
        <w:t>. NHIỆM VỤ TRỌNG TÂ</w:t>
      </w:r>
      <w:r>
        <w:rPr>
          <w:b/>
          <w:bCs/>
          <w:sz w:val="26"/>
          <w:szCs w:val="26"/>
        </w:rPr>
        <w:t>M CÔNG TÁC 6 THÁNG CUỐI NĂM 2019</w:t>
      </w:r>
      <w:r w:rsidRPr="00A66DB1">
        <w:rPr>
          <w:b/>
          <w:bCs/>
          <w:sz w:val="26"/>
          <w:szCs w:val="26"/>
        </w:rPr>
        <w:t xml:space="preserve">  </w:t>
      </w:r>
    </w:p>
    <w:p w14:paraId="3D752CB9" w14:textId="77777777" w:rsidR="00674DA0" w:rsidRDefault="00674DA0" w:rsidP="00674DA0">
      <w:pPr>
        <w:ind w:left="57" w:firstLine="652"/>
        <w:jc w:val="both"/>
        <w:rPr>
          <w:lang w:val="nl-NL"/>
        </w:rPr>
      </w:pPr>
      <w:r w:rsidRPr="00D8410E">
        <w:rPr>
          <w:lang w:val="nl-NL"/>
        </w:rPr>
        <w:t>Để hoàn thành các ch</w:t>
      </w:r>
      <w:r>
        <w:rPr>
          <w:lang w:val="nl-NL"/>
        </w:rPr>
        <w:t xml:space="preserve">ỉ tiêu công tác đã đề ra, trong 6 tháng cuối năm 2019, Tòa án nhân dân hai cấp tỉnh Quảng Bình thực hiện </w:t>
      </w:r>
      <w:r w:rsidRPr="00D8410E">
        <w:rPr>
          <w:lang w:val="nl-NL"/>
        </w:rPr>
        <w:t>các nhiệm vụ trọng tâm</w:t>
      </w:r>
      <w:r>
        <w:rPr>
          <w:lang w:val="nl-NL"/>
        </w:rPr>
        <w:t xml:space="preserve"> sau đây:</w:t>
      </w:r>
      <w:r w:rsidRPr="00D8410E">
        <w:rPr>
          <w:lang w:val="nl-NL"/>
        </w:rPr>
        <w:t xml:space="preserve"> </w:t>
      </w:r>
    </w:p>
    <w:p w14:paraId="53419171" w14:textId="77777777" w:rsidR="00674DA0" w:rsidRDefault="00674DA0" w:rsidP="00674DA0">
      <w:pPr>
        <w:ind w:firstLine="709"/>
        <w:jc w:val="both"/>
      </w:pPr>
      <w:r>
        <w:rPr>
          <w:color w:val="000000"/>
          <w:lang w:val="vi-VN"/>
        </w:rPr>
        <w:t xml:space="preserve">1. </w:t>
      </w:r>
      <w:r w:rsidRPr="00DA69B0">
        <w:t>Tiếp tục triển khai thực hiện nghiêm túc các Nghị quyết của Đảng, Quốc hội, của Tòa án nhân nhân tối cao và của Tỉnh ủy, Hội đồng nhân dân tỉnh và Uỷ ban nhân dân tỉnh có liên quan đến hoạt động của Tòa án; gắn việc thực hiện các nhiệm vụ công tác của Tòa án với việc thực hiện các yêu cầu của cải cách tư pháp, trong đó đặc biệt chú trọng việc thực hiện Nghị quyết số 49-NQ/TW ngày 02/6/2005 của Bộ Chính trị về Chiến lược</w:t>
      </w:r>
      <w:r>
        <w:t xml:space="preserve"> cải cách tư pháp đến năm 2020.</w:t>
      </w:r>
    </w:p>
    <w:p w14:paraId="15758CE5" w14:textId="77777777" w:rsidR="00674DA0" w:rsidRDefault="00674DA0" w:rsidP="00674DA0">
      <w:pPr>
        <w:ind w:firstLine="709"/>
        <w:jc w:val="both"/>
        <w:rPr>
          <w:lang w:val="pt-BR"/>
        </w:rPr>
      </w:pPr>
      <w:r>
        <w:rPr>
          <w:lang w:val="pt-BR"/>
        </w:rPr>
        <w:t>2. Đẩy nhanh tiến độ và nâng cao chất lượng giải quyết, xét xử các loại vụ án, thực hiện tốt nguyên tắc tranh tụng, đảm bảo các phán quyết của Tòa án phải đúng pháp luật, đảm bảo công lý, bảo vệ các quyền con người, quyền công dân. Phối hợp với các cơ quan tiến hành tố tụng khẩn trương đưa ra xét xử kịp thời, nghiêm minh các vụ án trọng điểm, nhất là vụ án lớn mà dư luận xã hội quan tâm như: các vụ án “vi phạm quy định về khai thác, bảo vệ rừng và lâm sản”, các vụ án về ma tuý, mại dâm, “tín dụng đen”, “xã hội đen” và “cá độ”. Chú trọng công tác hòa giải trong giải quyết các vụ án dân sự và công tác đối thoại trong giải quyết các vụ án hành chính; không để xẩy ra việc xét xử oan sai hoặc bỏ lọt tội phạm.</w:t>
      </w:r>
    </w:p>
    <w:p w14:paraId="59AAF5CC" w14:textId="77777777" w:rsidR="00674DA0" w:rsidRDefault="00674DA0" w:rsidP="00674DA0">
      <w:pPr>
        <w:shd w:val="clear" w:color="auto" w:fill="FFFFFF"/>
        <w:ind w:firstLine="709"/>
        <w:jc w:val="both"/>
      </w:pPr>
      <w:r>
        <w:rPr>
          <w:color w:val="000000"/>
        </w:rPr>
        <w:t>3</w:t>
      </w:r>
      <w:r>
        <w:rPr>
          <w:color w:val="000000"/>
          <w:lang w:val="vi-VN"/>
        </w:rPr>
        <w:t>.</w:t>
      </w:r>
      <w:r>
        <w:rPr>
          <w:b/>
          <w:color w:val="000000"/>
          <w:lang w:val="vi-VN"/>
        </w:rPr>
        <w:t xml:space="preserve"> </w:t>
      </w:r>
      <w:r>
        <w:rPr>
          <w:lang w:val="vi-VN"/>
        </w:rPr>
        <w:t>Tập trung nâng cao chất lượng đội ngũ cán bộ Tòa án, Hội thẩm nhân dân</w:t>
      </w:r>
      <w:r>
        <w:t>; tăng cường công tác đào tạo, bồi dưỡng chuyên môn nghiệp vụ cho các Thẩm phán, Thẩm tra viên, Thư ký và Hội thẩm nhân dân.</w:t>
      </w:r>
    </w:p>
    <w:p w14:paraId="0EA46D54" w14:textId="77777777" w:rsidR="00674DA0" w:rsidRDefault="00674DA0" w:rsidP="00674DA0">
      <w:pPr>
        <w:ind w:firstLine="720"/>
        <w:jc w:val="both"/>
        <w:rPr>
          <w:b/>
          <w:color w:val="000000"/>
        </w:rPr>
      </w:pPr>
    </w:p>
    <w:p w14:paraId="5502D74D" w14:textId="77777777" w:rsidR="00674DA0" w:rsidRDefault="00674DA0" w:rsidP="00674DA0">
      <w:pPr>
        <w:ind w:firstLine="720"/>
        <w:jc w:val="both"/>
        <w:rPr>
          <w:color w:val="000000"/>
        </w:rPr>
      </w:pPr>
      <w:r>
        <w:rPr>
          <w:color w:val="000000"/>
        </w:rPr>
        <w:lastRenderedPageBreak/>
        <w:t>4</w:t>
      </w:r>
      <w:r>
        <w:rPr>
          <w:color w:val="000000"/>
          <w:lang w:val="vi-VN"/>
        </w:rPr>
        <w:t>.</w:t>
      </w:r>
      <w:r>
        <w:rPr>
          <w:b/>
          <w:color w:val="000000"/>
          <w:lang w:val="vi-VN"/>
        </w:rPr>
        <w:t xml:space="preserve"> </w:t>
      </w:r>
      <w:r>
        <w:rPr>
          <w:color w:val="000000"/>
          <w:lang w:val="vi-VN"/>
        </w:rPr>
        <w:t xml:space="preserve">Tiếp tục đẩy mạnh cải cách hành chính tư pháp, lấy sự hài lòng của người dân làm mục tiêu cải cách, gắn với việc thực hiện nghiêm Chỉ thị số 05-CT-TW của Bộ Chính trị về đẩy mạnh học tập và làm theo tư tưởng, đạo đức, phong cách Hồ Chí Minh nhằm nâng cao đạo đức nghề nghiệp, đạo đức công vụ của cán bộ, công chức Tòa án nhân dân. </w:t>
      </w:r>
    </w:p>
    <w:p w14:paraId="690A901E" w14:textId="77777777" w:rsidR="00674DA0" w:rsidRDefault="00674DA0" w:rsidP="00674DA0">
      <w:pPr>
        <w:shd w:val="clear" w:color="auto" w:fill="FFFFFF"/>
        <w:ind w:firstLine="709"/>
        <w:jc w:val="both"/>
        <w:rPr>
          <w:i/>
          <w:iCs/>
        </w:rPr>
      </w:pPr>
      <w:r>
        <w:rPr>
          <w:color w:val="000000"/>
        </w:rPr>
        <w:t>5</w:t>
      </w:r>
      <w:r>
        <w:rPr>
          <w:color w:val="000000"/>
          <w:lang w:val="vi-VN"/>
        </w:rPr>
        <w:t xml:space="preserve">. </w:t>
      </w:r>
      <w:r>
        <w:rPr>
          <w:lang w:val="vi-VN"/>
        </w:rPr>
        <w:t xml:space="preserve">Đẩy mạnh hơn nữa các phong trào thi đua yêu nước, </w:t>
      </w:r>
      <w:r>
        <w:t>tiếp tục thực hiện</w:t>
      </w:r>
      <w:r>
        <w:rPr>
          <w:lang w:val="vi-VN"/>
        </w:rPr>
        <w:t xml:space="preserve"> chủ đề thi đua</w:t>
      </w:r>
      <w:r>
        <w:t xml:space="preserve"> năm 2019 </w:t>
      </w:r>
      <w:r>
        <w:rPr>
          <w:lang w:val="vi-VN"/>
        </w:rPr>
        <w:t xml:space="preserve">là </w:t>
      </w:r>
      <w:r>
        <w:t>“</w:t>
      </w:r>
      <w:r w:rsidRPr="00AC1C9C">
        <w:rPr>
          <w:bCs/>
          <w:i/>
          <w:color w:val="000000"/>
        </w:rPr>
        <w:t>Đoàn kết, kỷ cương, minh bạch, trách nhiệm, vì công l</w:t>
      </w:r>
      <w:r>
        <w:rPr>
          <w:bCs/>
          <w:color w:val="000000"/>
        </w:rPr>
        <w:t>ý”</w:t>
      </w:r>
      <w:r>
        <w:rPr>
          <w:i/>
          <w:iCs/>
        </w:rPr>
        <w:t>.</w:t>
      </w:r>
    </w:p>
    <w:p w14:paraId="5547C55C" w14:textId="77777777" w:rsidR="00674DA0" w:rsidRPr="00070519" w:rsidRDefault="00674DA0" w:rsidP="00674DA0">
      <w:pPr>
        <w:ind w:firstLine="720"/>
        <w:jc w:val="both"/>
        <w:rPr>
          <w:lang w:val="nl-NL"/>
        </w:rPr>
      </w:pPr>
      <w:r w:rsidRPr="00070519">
        <w:rPr>
          <w:lang w:val="nl-NL"/>
        </w:rPr>
        <w:t xml:space="preserve">Trên đây là báo cáo </w:t>
      </w:r>
      <w:r>
        <w:rPr>
          <w:lang w:val="nl-NL"/>
        </w:rPr>
        <w:t xml:space="preserve">công tác </w:t>
      </w:r>
      <w:r w:rsidRPr="00070519">
        <w:rPr>
          <w:lang w:val="nl-NL"/>
        </w:rPr>
        <w:t xml:space="preserve">của Tòa án nhân dân hai cấp tỉnh Quảng Bình </w:t>
      </w:r>
      <w:r>
        <w:rPr>
          <w:lang w:val="nl-NL"/>
        </w:rPr>
        <w:t xml:space="preserve">6 tháng đầu </w:t>
      </w:r>
      <w:r w:rsidRPr="00070519">
        <w:rPr>
          <w:lang w:val="nl-NL"/>
        </w:rPr>
        <w:t>năm</w:t>
      </w:r>
      <w:r>
        <w:rPr>
          <w:lang w:val="nl-NL"/>
        </w:rPr>
        <w:t xml:space="preserve"> 2019</w:t>
      </w:r>
      <w:r w:rsidRPr="00070519">
        <w:rPr>
          <w:lang w:val="nl-NL"/>
        </w:rPr>
        <w:t xml:space="preserve"> </w:t>
      </w:r>
      <w:r>
        <w:rPr>
          <w:lang w:val="nl-NL"/>
        </w:rPr>
        <w:t>và nhiệm vụ trọng tâm công tác 6 tháng cuối năm 2019</w:t>
      </w:r>
      <w:r w:rsidRPr="00070519">
        <w:rPr>
          <w:lang w:val="nl-NL"/>
        </w:rPr>
        <w:t>.</w:t>
      </w:r>
    </w:p>
    <w:p w14:paraId="3D6B3AEE" w14:textId="77777777" w:rsidR="00674DA0" w:rsidRPr="00DA69B0" w:rsidRDefault="00674DA0" w:rsidP="00674DA0">
      <w:pPr>
        <w:spacing w:before="120" w:line="280" w:lineRule="atLeast"/>
        <w:jc w:val="both"/>
      </w:pPr>
      <w:r w:rsidRPr="00DA69B0">
        <w:rPr>
          <w:b/>
          <w:bCs/>
          <w:i/>
          <w:iCs/>
        </w:rPr>
        <w:t>Nơi nhận:                                           </w:t>
      </w:r>
      <w:r>
        <w:rPr>
          <w:b/>
          <w:bCs/>
          <w:i/>
          <w:iCs/>
        </w:rPr>
        <w:t>                         </w:t>
      </w:r>
      <w:r w:rsidRPr="00DA69B0">
        <w:rPr>
          <w:b/>
          <w:bCs/>
          <w:i/>
          <w:iCs/>
        </w:rPr>
        <w:t xml:space="preserve"> </w:t>
      </w:r>
      <w:r w:rsidRPr="00DA69B0">
        <w:rPr>
          <w:b/>
          <w:bCs/>
        </w:rPr>
        <w:t>CHÁNH ÁN</w:t>
      </w:r>
    </w:p>
    <w:p w14:paraId="55C09480" w14:textId="77777777" w:rsidR="00674DA0" w:rsidRPr="001C5267" w:rsidRDefault="00674DA0" w:rsidP="00674DA0">
      <w:pPr>
        <w:spacing w:line="280" w:lineRule="atLeast"/>
        <w:jc w:val="both"/>
        <w:rPr>
          <w:sz w:val="24"/>
          <w:szCs w:val="24"/>
        </w:rPr>
      </w:pPr>
      <w:r w:rsidRPr="001C5267">
        <w:rPr>
          <w:sz w:val="24"/>
          <w:szCs w:val="24"/>
        </w:rPr>
        <w:t>- TTTU, TTHĐND, UBND tỉnh;</w:t>
      </w:r>
    </w:p>
    <w:p w14:paraId="580DDCBF" w14:textId="77777777" w:rsidR="00674DA0" w:rsidRPr="001C5267" w:rsidRDefault="00674DA0" w:rsidP="00674DA0">
      <w:pPr>
        <w:spacing w:line="280" w:lineRule="atLeast"/>
        <w:jc w:val="both"/>
        <w:rPr>
          <w:sz w:val="24"/>
          <w:szCs w:val="24"/>
        </w:rPr>
      </w:pPr>
      <w:r w:rsidRPr="001C5267">
        <w:rPr>
          <w:sz w:val="24"/>
          <w:szCs w:val="24"/>
        </w:rPr>
        <w:t>- UBMTTQVN tỉnh</w:t>
      </w:r>
      <w:r>
        <w:rPr>
          <w:sz w:val="24"/>
          <w:szCs w:val="24"/>
        </w:rPr>
        <w:t>, Đoàn ĐBQH tỉnh</w:t>
      </w:r>
      <w:r w:rsidRPr="001C5267">
        <w:rPr>
          <w:sz w:val="24"/>
          <w:szCs w:val="24"/>
        </w:rPr>
        <w:t>;</w:t>
      </w:r>
    </w:p>
    <w:p w14:paraId="26DA7AF5" w14:textId="77777777" w:rsidR="00674DA0" w:rsidRPr="001C5267" w:rsidRDefault="00674DA0" w:rsidP="00674DA0">
      <w:pPr>
        <w:spacing w:line="280" w:lineRule="atLeast"/>
        <w:jc w:val="both"/>
        <w:rPr>
          <w:sz w:val="24"/>
          <w:szCs w:val="24"/>
        </w:rPr>
      </w:pPr>
      <w:r w:rsidRPr="001C5267">
        <w:rPr>
          <w:sz w:val="24"/>
          <w:szCs w:val="24"/>
        </w:rPr>
        <w:t>- Ban NCTU, VPTU; Ban PCHĐND tỉnh;        </w:t>
      </w:r>
      <w:r>
        <w:rPr>
          <w:sz w:val="24"/>
          <w:szCs w:val="24"/>
        </w:rPr>
        <w:t xml:space="preserve">                                                                            </w:t>
      </w:r>
    </w:p>
    <w:p w14:paraId="26ABCE3D" w14:textId="77777777" w:rsidR="00674DA0" w:rsidRDefault="00674DA0" w:rsidP="00674DA0">
      <w:pPr>
        <w:spacing w:line="280" w:lineRule="atLeast"/>
        <w:jc w:val="both"/>
        <w:rPr>
          <w:sz w:val="24"/>
          <w:szCs w:val="24"/>
        </w:rPr>
      </w:pPr>
      <w:r>
        <w:rPr>
          <w:sz w:val="24"/>
          <w:szCs w:val="24"/>
        </w:rPr>
        <w:t>- VPH</w:t>
      </w:r>
      <w:r w:rsidRPr="001C5267">
        <w:rPr>
          <w:sz w:val="24"/>
          <w:szCs w:val="24"/>
        </w:rPr>
        <w:t>ĐND tỉnh, VPUBND tỉnh;</w:t>
      </w:r>
    </w:p>
    <w:p w14:paraId="2813CDB5" w14:textId="77777777" w:rsidR="00674DA0" w:rsidRPr="001C5267" w:rsidRDefault="00674DA0" w:rsidP="00674DA0">
      <w:pPr>
        <w:spacing w:line="280" w:lineRule="atLeast"/>
        <w:jc w:val="both"/>
        <w:rPr>
          <w:sz w:val="24"/>
          <w:szCs w:val="24"/>
        </w:rPr>
      </w:pPr>
      <w:r>
        <w:rPr>
          <w:sz w:val="24"/>
          <w:szCs w:val="24"/>
        </w:rPr>
        <w:t>- Các đại biểu HĐND tỉnh;</w:t>
      </w:r>
    </w:p>
    <w:p w14:paraId="1AC7608A" w14:textId="77777777" w:rsidR="00674DA0" w:rsidRPr="001C5267" w:rsidRDefault="00674DA0" w:rsidP="00674DA0">
      <w:pPr>
        <w:spacing w:line="280" w:lineRule="atLeast"/>
        <w:jc w:val="both"/>
        <w:rPr>
          <w:sz w:val="24"/>
          <w:szCs w:val="24"/>
        </w:rPr>
      </w:pPr>
      <w:r w:rsidRPr="001C5267">
        <w:rPr>
          <w:sz w:val="24"/>
          <w:szCs w:val="24"/>
        </w:rPr>
        <w:t xml:space="preserve">- CA, PCA TAND tỉnh;        </w:t>
      </w:r>
    </w:p>
    <w:p w14:paraId="6DCF420E" w14:textId="77777777" w:rsidR="00674DA0" w:rsidRPr="001C5267" w:rsidRDefault="00674DA0" w:rsidP="00674DA0">
      <w:pPr>
        <w:spacing w:line="280" w:lineRule="atLeast"/>
        <w:jc w:val="both"/>
        <w:rPr>
          <w:sz w:val="24"/>
          <w:szCs w:val="24"/>
        </w:rPr>
      </w:pPr>
      <w:r w:rsidRPr="001C5267">
        <w:rPr>
          <w:sz w:val="24"/>
          <w:szCs w:val="24"/>
        </w:rPr>
        <w:t>- TAND các huyện, thành phố, thị xã;</w:t>
      </w:r>
    </w:p>
    <w:p w14:paraId="43260E91" w14:textId="77777777" w:rsidR="00674DA0" w:rsidRPr="00DA69B0" w:rsidRDefault="00674DA0" w:rsidP="00674DA0">
      <w:pPr>
        <w:spacing w:line="280" w:lineRule="atLeast"/>
        <w:jc w:val="both"/>
      </w:pPr>
      <w:r w:rsidRPr="001C5267">
        <w:rPr>
          <w:sz w:val="24"/>
          <w:szCs w:val="24"/>
        </w:rPr>
        <w:t>- Các Tòa, Phòng TAND tỉnh;</w:t>
      </w:r>
      <w:r w:rsidRPr="00DA69B0">
        <w:t>      </w:t>
      </w:r>
      <w:r>
        <w:t>                </w:t>
      </w:r>
      <w:r w:rsidRPr="00DA69B0">
        <w:t>        </w:t>
      </w:r>
      <w:r>
        <w:t xml:space="preserve">                 </w:t>
      </w:r>
      <w:r w:rsidRPr="00DA69B0">
        <w:rPr>
          <w:b/>
          <w:bCs/>
        </w:rPr>
        <w:t>Nguyễn Thanh Xuân</w:t>
      </w:r>
      <w:r w:rsidRPr="00DA69B0">
        <w:t xml:space="preserve">               </w:t>
      </w:r>
    </w:p>
    <w:p w14:paraId="2609B7B4" w14:textId="77777777" w:rsidR="00674DA0" w:rsidRPr="001C5267" w:rsidRDefault="00674DA0" w:rsidP="00674DA0">
      <w:pPr>
        <w:spacing w:line="280" w:lineRule="atLeast"/>
        <w:jc w:val="both"/>
        <w:rPr>
          <w:sz w:val="24"/>
          <w:szCs w:val="24"/>
        </w:rPr>
      </w:pPr>
      <w:r w:rsidRPr="001C5267">
        <w:rPr>
          <w:sz w:val="24"/>
          <w:szCs w:val="24"/>
        </w:rPr>
        <w:t>- Lưu: VT, VP.</w:t>
      </w:r>
    </w:p>
    <w:p w14:paraId="5DD944DD" w14:textId="77777777" w:rsidR="00674DA0" w:rsidRDefault="00674DA0" w:rsidP="00674DA0"/>
    <w:p w14:paraId="7333AF45" w14:textId="77777777" w:rsidR="002150CD" w:rsidRDefault="002150CD"/>
    <w:sectPr w:rsidR="002150CD" w:rsidSect="00A401AC">
      <w:footerReference w:type="even" r:id="rId6"/>
      <w:footerReference w:type="default" r:id="rId7"/>
      <w:pgSz w:w="12240" w:h="15840" w:code="1"/>
      <w:pgMar w:top="1134" w:right="851" w:bottom="1134" w:left="1701" w:header="720" w:footer="431" w:gutter="0"/>
      <w:cols w:space="720"/>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E060D" w14:textId="77777777" w:rsidR="00B3231A" w:rsidRDefault="00B3231A" w:rsidP="00674DA0">
      <w:r>
        <w:separator/>
      </w:r>
    </w:p>
  </w:endnote>
  <w:endnote w:type="continuationSeparator" w:id="0">
    <w:p w14:paraId="26B08180" w14:textId="77777777" w:rsidR="00B3231A" w:rsidRDefault="00B3231A" w:rsidP="0067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nTime">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574B1" w14:textId="77777777" w:rsidR="00916AA9" w:rsidRDefault="00B5705D" w:rsidP="00916A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6A9885" w14:textId="77777777" w:rsidR="00916AA9" w:rsidRDefault="00B323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013547"/>
      <w:docPartObj>
        <w:docPartGallery w:val="Page Numbers (Bottom of Page)"/>
        <w:docPartUnique/>
      </w:docPartObj>
    </w:sdtPr>
    <w:sdtEndPr>
      <w:rPr>
        <w:noProof/>
      </w:rPr>
    </w:sdtEndPr>
    <w:sdtContent>
      <w:p w14:paraId="57B1638C" w14:textId="77777777" w:rsidR="00674DA0" w:rsidRDefault="00674DA0">
        <w:pPr>
          <w:pStyle w:val="Footer"/>
          <w:jc w:val="center"/>
        </w:pPr>
        <w:r>
          <w:fldChar w:fldCharType="begin"/>
        </w:r>
        <w:r>
          <w:instrText xml:space="preserve"> PAGE   \* MERGEFORMAT </w:instrText>
        </w:r>
        <w:r>
          <w:fldChar w:fldCharType="separate"/>
        </w:r>
        <w:r w:rsidR="00F02E69">
          <w:rPr>
            <w:noProof/>
          </w:rPr>
          <w:t>1</w:t>
        </w:r>
        <w:r>
          <w:rPr>
            <w:noProof/>
          </w:rPr>
          <w:fldChar w:fldCharType="end"/>
        </w:r>
      </w:p>
    </w:sdtContent>
  </w:sdt>
  <w:p w14:paraId="4B44E732" w14:textId="77777777" w:rsidR="00916AA9" w:rsidRDefault="00B323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8B0A9" w14:textId="77777777" w:rsidR="00B3231A" w:rsidRDefault="00B3231A" w:rsidP="00674DA0">
      <w:r>
        <w:separator/>
      </w:r>
    </w:p>
  </w:footnote>
  <w:footnote w:type="continuationSeparator" w:id="0">
    <w:p w14:paraId="55F40799" w14:textId="77777777" w:rsidR="00B3231A" w:rsidRDefault="00B3231A" w:rsidP="00674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A0"/>
    <w:rsid w:val="002150CD"/>
    <w:rsid w:val="00674DA0"/>
    <w:rsid w:val="00AB10C9"/>
    <w:rsid w:val="00B3231A"/>
    <w:rsid w:val="00B5705D"/>
    <w:rsid w:val="00F02E6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61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4DA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674DA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DA0"/>
    <w:rPr>
      <w:rFonts w:ascii="Arial" w:eastAsia="Times New Roman" w:hAnsi="Arial" w:cs="Arial"/>
      <w:b/>
      <w:bCs/>
      <w:kern w:val="32"/>
      <w:sz w:val="32"/>
      <w:szCs w:val="32"/>
    </w:rPr>
  </w:style>
  <w:style w:type="paragraph" w:styleId="Footer">
    <w:name w:val="footer"/>
    <w:basedOn w:val="Normal"/>
    <w:link w:val="FooterChar"/>
    <w:uiPriority w:val="99"/>
    <w:rsid w:val="00674DA0"/>
    <w:pPr>
      <w:tabs>
        <w:tab w:val="center" w:pos="4320"/>
        <w:tab w:val="right" w:pos="8640"/>
      </w:tabs>
    </w:pPr>
  </w:style>
  <w:style w:type="character" w:customStyle="1" w:styleId="FooterChar">
    <w:name w:val="Footer Char"/>
    <w:basedOn w:val="DefaultParagraphFont"/>
    <w:link w:val="Footer"/>
    <w:uiPriority w:val="99"/>
    <w:rsid w:val="00674DA0"/>
    <w:rPr>
      <w:rFonts w:ascii="Times New Roman" w:eastAsia="Times New Roman" w:hAnsi="Times New Roman" w:cs="Times New Roman"/>
      <w:sz w:val="28"/>
      <w:szCs w:val="28"/>
    </w:rPr>
  </w:style>
  <w:style w:type="character" w:styleId="PageNumber">
    <w:name w:val="page number"/>
    <w:basedOn w:val="DefaultParagraphFont"/>
    <w:rsid w:val="00674DA0"/>
  </w:style>
  <w:style w:type="paragraph" w:styleId="BodyText">
    <w:name w:val="Body Text"/>
    <w:basedOn w:val="Normal"/>
    <w:link w:val="BodyTextChar"/>
    <w:rsid w:val="00674DA0"/>
    <w:rPr>
      <w:rFonts w:ascii=".VnTime" w:hAnsi=".VnTime"/>
      <w:b/>
      <w:i/>
      <w:szCs w:val="20"/>
    </w:rPr>
  </w:style>
  <w:style w:type="character" w:customStyle="1" w:styleId="BodyTextChar">
    <w:name w:val="Body Text Char"/>
    <w:basedOn w:val="DefaultParagraphFont"/>
    <w:link w:val="BodyText"/>
    <w:rsid w:val="00674DA0"/>
    <w:rPr>
      <w:rFonts w:ascii=".VnTime" w:eastAsia="Times New Roman" w:hAnsi=".VnTime" w:cs="Times New Roman"/>
      <w:b/>
      <w:i/>
      <w:sz w:val="28"/>
      <w:szCs w:val="20"/>
    </w:rPr>
  </w:style>
  <w:style w:type="paragraph" w:styleId="NormalWeb">
    <w:name w:val="Normal (Web)"/>
    <w:basedOn w:val="Normal"/>
    <w:uiPriority w:val="99"/>
    <w:rsid w:val="00674DA0"/>
    <w:pPr>
      <w:spacing w:before="100" w:beforeAutospacing="1" w:after="100" w:afterAutospacing="1"/>
    </w:pPr>
    <w:rPr>
      <w:sz w:val="24"/>
      <w:szCs w:val="24"/>
    </w:rPr>
  </w:style>
  <w:style w:type="paragraph" w:styleId="Header">
    <w:name w:val="header"/>
    <w:basedOn w:val="Normal"/>
    <w:link w:val="HeaderChar"/>
    <w:uiPriority w:val="99"/>
    <w:unhideWhenUsed/>
    <w:rsid w:val="00674DA0"/>
    <w:pPr>
      <w:tabs>
        <w:tab w:val="center" w:pos="4680"/>
        <w:tab w:val="right" w:pos="9360"/>
      </w:tabs>
    </w:pPr>
  </w:style>
  <w:style w:type="character" w:customStyle="1" w:styleId="HeaderChar">
    <w:name w:val="Header Char"/>
    <w:basedOn w:val="DefaultParagraphFont"/>
    <w:link w:val="Header"/>
    <w:uiPriority w:val="99"/>
    <w:rsid w:val="00674DA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2364</Words>
  <Characters>13478</Characters>
  <Application>Microsoft Macintosh Word</Application>
  <DocSecurity>0</DocSecurity>
  <Lines>112</Lines>
  <Paragraphs>31</Paragraphs>
  <ScaleCrop>false</ScaleCrop>
  <Company/>
  <LinksUpToDate>false</LinksUpToDate>
  <CharactersWithSpaces>15811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Hoang Tu Quoc Hung</cp:lastModifiedBy>
  <cp:revision>2</cp:revision>
  <dcterms:created xsi:type="dcterms:W3CDTF">2019-07-05T08:49:00Z</dcterms:created>
  <dcterms:modified xsi:type="dcterms:W3CDTF">2019-07-05T08:49:00Z</dcterms:modified>
</cp:coreProperties>
</file>