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2C" w:rsidRPr="0002641F" w:rsidRDefault="00450A2C" w:rsidP="002F59A4">
      <w:pPr>
        <w:rPr>
          <w:b/>
          <w:sz w:val="2"/>
          <w:szCs w:val="2"/>
          <w:lang w:val="pt-BR"/>
        </w:rPr>
      </w:pPr>
    </w:p>
    <w:p w:rsidR="00B800AF" w:rsidRPr="0002641F" w:rsidRDefault="00B800AF" w:rsidP="00B800AF">
      <w:pPr>
        <w:jc w:val="center"/>
        <w:rPr>
          <w:b/>
          <w:bCs/>
        </w:rPr>
      </w:pPr>
      <w:r w:rsidRPr="0002641F">
        <w:rPr>
          <w:b/>
          <w:bCs/>
        </w:rPr>
        <w:t>PHỤ LỤC I</w:t>
      </w:r>
    </w:p>
    <w:p w:rsidR="0002641F" w:rsidRDefault="00B800AF" w:rsidP="0002641F">
      <w:pPr>
        <w:jc w:val="center"/>
        <w:rPr>
          <w:b/>
          <w:bCs/>
        </w:rPr>
      </w:pPr>
      <w:r w:rsidRPr="0002641F">
        <w:rPr>
          <w:b/>
          <w:bCs/>
        </w:rPr>
        <w:t xml:space="preserve">Đề nghị giảm phí sử dụng công trình kết cấu hạ tầng trong khu vực cửa khẩu đối với phương tiện vận tải chở hàng hóa ra vào các cửa khẩu của </w:t>
      </w:r>
    </w:p>
    <w:p w:rsidR="00B800AF" w:rsidRPr="0002641F" w:rsidRDefault="00B800AF" w:rsidP="0002641F">
      <w:pPr>
        <w:jc w:val="center"/>
        <w:rPr>
          <w:b/>
          <w:bCs/>
        </w:rPr>
      </w:pPr>
      <w:r w:rsidRPr="0002641F">
        <w:rPr>
          <w:b/>
          <w:bCs/>
        </w:rPr>
        <w:t>tỉnh Quảng Bình do ảnh hưởng của dịch Covid-19</w:t>
      </w:r>
    </w:p>
    <w:p w:rsidR="0002641F" w:rsidRDefault="00B800AF" w:rsidP="00B800AF">
      <w:pPr>
        <w:ind w:firstLine="567"/>
        <w:jc w:val="center"/>
        <w:rPr>
          <w:i/>
        </w:rPr>
      </w:pPr>
      <w:r w:rsidRPr="0002641F">
        <w:rPr>
          <w:i/>
        </w:rPr>
        <w:t xml:space="preserve">(Kèm theo Tờ trình số </w:t>
      </w:r>
      <w:r w:rsidR="0079229B">
        <w:rPr>
          <w:i/>
        </w:rPr>
        <w:t>890</w:t>
      </w:r>
      <w:r w:rsidRPr="0002641F">
        <w:rPr>
          <w:i/>
        </w:rPr>
        <w:t xml:space="preserve">/TTr-UBND ngày </w:t>
      </w:r>
      <w:r w:rsidR="0079229B">
        <w:rPr>
          <w:i/>
        </w:rPr>
        <w:t>26 tháng 5</w:t>
      </w:r>
      <w:r w:rsidRPr="0002641F">
        <w:rPr>
          <w:i/>
        </w:rPr>
        <w:t xml:space="preserve"> năm 2020</w:t>
      </w:r>
    </w:p>
    <w:p w:rsidR="00B800AF" w:rsidRPr="0002641F" w:rsidRDefault="00B800AF" w:rsidP="00B800AF">
      <w:pPr>
        <w:ind w:firstLine="567"/>
        <w:jc w:val="center"/>
        <w:rPr>
          <w:i/>
        </w:rPr>
      </w:pPr>
      <w:r w:rsidRPr="0002641F">
        <w:rPr>
          <w:i/>
        </w:rPr>
        <w:t xml:space="preserve"> của UBND tỉnh Quảng Bình)</w:t>
      </w:r>
    </w:p>
    <w:tbl>
      <w:tblPr>
        <w:tblpPr w:leftFromText="180" w:rightFromText="180" w:vertAnchor="text" w:horzAnchor="margin" w:tblpXSpec="center" w:tblpY="146"/>
        <w:tblW w:w="5553" w:type="pct"/>
        <w:tblLayout w:type="fixed"/>
        <w:tblLook w:val="0000" w:firstRow="0" w:lastRow="0" w:firstColumn="0" w:lastColumn="0" w:noHBand="0" w:noVBand="0"/>
      </w:tblPr>
      <w:tblGrid>
        <w:gridCol w:w="675"/>
        <w:gridCol w:w="3969"/>
        <w:gridCol w:w="1559"/>
        <w:gridCol w:w="1419"/>
        <w:gridCol w:w="1417"/>
        <w:gridCol w:w="1275"/>
      </w:tblGrid>
      <w:tr w:rsidR="0079229B" w:rsidRPr="0002641F" w:rsidTr="0079229B">
        <w:trPr>
          <w:trHeight w:val="480"/>
          <w:tblHeader/>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0AF" w:rsidRPr="0002641F" w:rsidRDefault="00B800AF" w:rsidP="00B800AF">
            <w:pPr>
              <w:ind w:left="-108" w:right="-107"/>
              <w:jc w:val="center"/>
              <w:rPr>
                <w:b/>
                <w:bCs/>
                <w:sz w:val="26"/>
                <w:szCs w:val="26"/>
              </w:rPr>
            </w:pPr>
            <w:r w:rsidRPr="0002641F">
              <w:rPr>
                <w:b/>
                <w:bCs/>
                <w:sz w:val="26"/>
                <w:szCs w:val="26"/>
              </w:rPr>
              <w:t>STT</w:t>
            </w:r>
          </w:p>
        </w:tc>
        <w:tc>
          <w:tcPr>
            <w:tcW w:w="1924" w:type="pct"/>
            <w:tcBorders>
              <w:top w:val="single" w:sz="4" w:space="0" w:color="auto"/>
              <w:left w:val="nil"/>
              <w:bottom w:val="single" w:sz="4" w:space="0" w:color="auto"/>
              <w:right w:val="single" w:sz="4" w:space="0" w:color="auto"/>
            </w:tcBorders>
            <w:shd w:val="clear" w:color="auto" w:fill="auto"/>
            <w:noWrap/>
            <w:vAlign w:val="center"/>
          </w:tcPr>
          <w:p w:rsidR="00B800AF" w:rsidRPr="0002641F" w:rsidRDefault="00B800AF" w:rsidP="00B800AF">
            <w:pPr>
              <w:jc w:val="center"/>
              <w:rPr>
                <w:b/>
                <w:bCs/>
                <w:sz w:val="26"/>
                <w:szCs w:val="26"/>
              </w:rPr>
            </w:pPr>
            <w:r w:rsidRPr="0002641F">
              <w:rPr>
                <w:b/>
                <w:bCs/>
                <w:sz w:val="26"/>
                <w:szCs w:val="26"/>
              </w:rPr>
              <w:t>Danh mục</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B800AF" w:rsidRPr="0002641F" w:rsidRDefault="00B800AF" w:rsidP="00B800AF">
            <w:pPr>
              <w:jc w:val="center"/>
              <w:rPr>
                <w:b/>
                <w:bCs/>
                <w:sz w:val="26"/>
                <w:szCs w:val="26"/>
              </w:rPr>
            </w:pPr>
            <w:r w:rsidRPr="0002641F">
              <w:rPr>
                <w:b/>
                <w:bCs/>
                <w:sz w:val="26"/>
                <w:szCs w:val="26"/>
              </w:rPr>
              <w:t>ĐVT</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B800AF" w:rsidRPr="0002641F" w:rsidRDefault="00B800AF" w:rsidP="00B800AF">
            <w:pPr>
              <w:jc w:val="center"/>
              <w:rPr>
                <w:b/>
                <w:bCs/>
                <w:sz w:val="26"/>
                <w:szCs w:val="26"/>
              </w:rPr>
            </w:pPr>
            <w:r w:rsidRPr="0002641F">
              <w:rPr>
                <w:b/>
                <w:bCs/>
                <w:sz w:val="26"/>
                <w:szCs w:val="26"/>
              </w:rPr>
              <w:t>Mức thu hiện hành</w:t>
            </w:r>
          </w:p>
        </w:tc>
        <w:tc>
          <w:tcPr>
            <w:tcW w:w="687" w:type="pct"/>
            <w:tcBorders>
              <w:top w:val="single" w:sz="4" w:space="0" w:color="auto"/>
              <w:left w:val="nil"/>
              <w:bottom w:val="single" w:sz="4" w:space="0" w:color="auto"/>
              <w:right w:val="single" w:sz="4" w:space="0" w:color="auto"/>
            </w:tcBorders>
          </w:tcPr>
          <w:p w:rsidR="00B800AF" w:rsidRPr="0002641F" w:rsidRDefault="00B800AF" w:rsidP="00B800AF">
            <w:pPr>
              <w:jc w:val="center"/>
              <w:rPr>
                <w:b/>
                <w:bCs/>
                <w:sz w:val="26"/>
                <w:szCs w:val="26"/>
              </w:rPr>
            </w:pPr>
            <w:r w:rsidRPr="0002641F">
              <w:rPr>
                <w:b/>
                <w:bCs/>
                <w:sz w:val="26"/>
                <w:szCs w:val="26"/>
              </w:rPr>
              <w:t>Mức đề nghị giảm</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00AF" w:rsidRPr="0002641F" w:rsidRDefault="00B800AF" w:rsidP="00B800AF">
            <w:pPr>
              <w:jc w:val="center"/>
              <w:rPr>
                <w:b/>
                <w:bCs/>
                <w:sz w:val="26"/>
                <w:szCs w:val="26"/>
              </w:rPr>
            </w:pPr>
            <w:r w:rsidRPr="0002641F">
              <w:rPr>
                <w:b/>
                <w:bCs/>
                <w:sz w:val="26"/>
                <w:szCs w:val="26"/>
              </w:rPr>
              <w:t>Mức thu sau giảm</w:t>
            </w:r>
          </w:p>
        </w:tc>
      </w:tr>
      <w:tr w:rsidR="0079229B" w:rsidRPr="0002641F" w:rsidTr="0079229B">
        <w:trPr>
          <w:trHeight w:val="227"/>
          <w:tblHeader/>
        </w:trPr>
        <w:tc>
          <w:tcPr>
            <w:tcW w:w="327" w:type="pct"/>
            <w:tcBorders>
              <w:top w:val="single"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b/>
                <w:bCs/>
                <w:sz w:val="26"/>
                <w:szCs w:val="26"/>
              </w:rPr>
            </w:pPr>
            <w:r w:rsidRPr="0002641F">
              <w:rPr>
                <w:b/>
                <w:bCs/>
                <w:sz w:val="26"/>
                <w:szCs w:val="26"/>
              </w:rPr>
              <w:t>I</w:t>
            </w:r>
          </w:p>
        </w:tc>
        <w:tc>
          <w:tcPr>
            <w:tcW w:w="1924" w:type="pct"/>
            <w:tcBorders>
              <w:top w:val="single"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b/>
                <w:bCs/>
                <w:sz w:val="26"/>
                <w:szCs w:val="26"/>
              </w:rPr>
            </w:pPr>
            <w:r w:rsidRPr="0002641F">
              <w:rPr>
                <w:b/>
                <w:bCs/>
                <w:sz w:val="26"/>
                <w:szCs w:val="26"/>
              </w:rPr>
              <w:t>Phương tiện vận tải chở hàng hóa xuất, nhập khẩu (Giảm 30% so với mức thu hiện hành)</w:t>
            </w:r>
          </w:p>
        </w:tc>
        <w:tc>
          <w:tcPr>
            <w:tcW w:w="756" w:type="pct"/>
            <w:tcBorders>
              <w:top w:val="single" w:sz="4" w:space="0" w:color="auto"/>
              <w:left w:val="nil"/>
              <w:bottom w:val="dotted" w:sz="4" w:space="0" w:color="auto"/>
              <w:right w:val="single" w:sz="4" w:space="0" w:color="auto"/>
            </w:tcBorders>
            <w:shd w:val="clear" w:color="auto" w:fill="auto"/>
            <w:vAlign w:val="center"/>
          </w:tcPr>
          <w:p w:rsidR="00B800AF" w:rsidRPr="0002641F" w:rsidRDefault="00B800AF" w:rsidP="00B800AF">
            <w:pPr>
              <w:spacing w:before="60" w:after="60" w:line="259" w:lineRule="auto"/>
              <w:rPr>
                <w:b/>
                <w:bCs/>
                <w:sz w:val="26"/>
                <w:szCs w:val="26"/>
              </w:rPr>
            </w:pPr>
            <w:r w:rsidRPr="0002641F">
              <w:rPr>
                <w:b/>
                <w:bCs/>
                <w:sz w:val="26"/>
                <w:szCs w:val="26"/>
              </w:rPr>
              <w:t> </w:t>
            </w:r>
          </w:p>
        </w:tc>
        <w:tc>
          <w:tcPr>
            <w:tcW w:w="688" w:type="pct"/>
            <w:tcBorders>
              <w:top w:val="single"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rPr>
                <w:sz w:val="26"/>
                <w:szCs w:val="26"/>
              </w:rPr>
            </w:pPr>
            <w:r w:rsidRPr="0002641F">
              <w:rPr>
                <w:sz w:val="26"/>
                <w:szCs w:val="26"/>
              </w:rPr>
              <w:t> </w:t>
            </w:r>
          </w:p>
        </w:tc>
        <w:tc>
          <w:tcPr>
            <w:tcW w:w="687" w:type="pct"/>
            <w:tcBorders>
              <w:top w:val="single" w:sz="4" w:space="0" w:color="auto"/>
              <w:left w:val="nil"/>
              <w:bottom w:val="dotted" w:sz="4" w:space="0" w:color="auto"/>
              <w:right w:val="single" w:sz="4" w:space="0" w:color="auto"/>
            </w:tcBorders>
          </w:tcPr>
          <w:p w:rsidR="00B800AF" w:rsidRPr="0002641F" w:rsidRDefault="00B800AF" w:rsidP="00B800AF">
            <w:pPr>
              <w:spacing w:before="60" w:after="60" w:line="259" w:lineRule="auto"/>
              <w:rPr>
                <w:sz w:val="26"/>
                <w:szCs w:val="26"/>
              </w:rPr>
            </w:pPr>
          </w:p>
        </w:tc>
        <w:tc>
          <w:tcPr>
            <w:tcW w:w="618" w:type="pct"/>
            <w:tcBorders>
              <w:top w:val="single"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rPr>
                <w:sz w:val="26"/>
                <w:szCs w:val="26"/>
              </w:rPr>
            </w:pPr>
            <w:r w:rsidRPr="0002641F">
              <w:rPr>
                <w:sz w:val="26"/>
                <w:szCs w:val="26"/>
              </w:rPr>
              <w:t> </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dưới 5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50.000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15.000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35.000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2</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5 tấn đến dưới 10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150.000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45.000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105.000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3</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10 tấn đến dưới 20 tấn, xe container 20Feet</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300.000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90.000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210.000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4</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20 tấn trở lên, xe container 40Feet</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450.000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135.000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315.000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b/>
                <w:bCs/>
                <w:sz w:val="26"/>
                <w:szCs w:val="26"/>
              </w:rPr>
            </w:pPr>
            <w:r w:rsidRPr="0002641F">
              <w:rPr>
                <w:b/>
                <w:bCs/>
                <w:sz w:val="26"/>
                <w:szCs w:val="26"/>
              </w:rPr>
              <w:t>II</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b/>
                <w:bCs/>
                <w:sz w:val="26"/>
                <w:szCs w:val="26"/>
              </w:rPr>
            </w:pPr>
            <w:r w:rsidRPr="0002641F">
              <w:rPr>
                <w:b/>
                <w:bCs/>
                <w:sz w:val="26"/>
                <w:szCs w:val="26"/>
              </w:rPr>
              <w:t>Phương tiện vận tải chở hàng hóa tạm nhập-tái xuất, tạm xuất-tái nhập, hàng hóa quá cảnh, hàng hóa chuyển cảng, hàng hóa chuyển khẩu, hàng hóa gửi kho ngoại quan (Giảm 20% so với mức thu hiện hành)</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b/>
                <w:bCs/>
                <w:sz w:val="26"/>
                <w:szCs w:val="26"/>
              </w:rPr>
            </w:pP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b/>
                <w:bCs/>
                <w:sz w:val="26"/>
                <w:szCs w:val="26"/>
              </w:rPr>
            </w:pPr>
            <w:r w:rsidRPr="0002641F">
              <w:rPr>
                <w:b/>
                <w:bCs/>
                <w:sz w:val="26"/>
                <w:szCs w:val="26"/>
              </w:rPr>
              <w:t>Phương viện vận tải chở hàng hóa là quặng các loại</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b/>
                <w:bCs/>
                <w:sz w:val="26"/>
                <w:szCs w:val="26"/>
              </w:rPr>
            </w:pP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1.1</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dưới 5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200.000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40.000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160.000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1.2</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5 tấn đến dưới 10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300.000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60.000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240.000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1.3</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10 tấn đến dưới 20 tấn, xe container 20Feet</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750.000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150.000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600.000</w:t>
            </w:r>
          </w:p>
        </w:tc>
      </w:tr>
      <w:tr w:rsidR="0079229B" w:rsidRPr="0002641F" w:rsidTr="0079229B">
        <w:trPr>
          <w:trHeight w:val="227"/>
          <w:tblHeader/>
        </w:trPr>
        <w:tc>
          <w:tcPr>
            <w:tcW w:w="327" w:type="pct"/>
            <w:tcBorders>
              <w:top w:val="dotted" w:sz="4" w:space="0" w:color="auto"/>
              <w:left w:val="single" w:sz="4" w:space="0" w:color="auto"/>
              <w:bottom w:val="single" w:sz="4" w:space="0" w:color="auto"/>
              <w:right w:val="single" w:sz="4" w:space="0" w:color="auto"/>
            </w:tcBorders>
            <w:shd w:val="clear" w:color="auto" w:fill="auto"/>
            <w:noWrap/>
          </w:tcPr>
          <w:p w:rsidR="00B800AF" w:rsidRPr="0002641F" w:rsidRDefault="00B800AF" w:rsidP="00B800AF">
            <w:pPr>
              <w:spacing w:before="60" w:after="60" w:line="259" w:lineRule="auto"/>
              <w:jc w:val="center"/>
              <w:rPr>
                <w:sz w:val="26"/>
                <w:szCs w:val="26"/>
              </w:rPr>
            </w:pPr>
            <w:r w:rsidRPr="0002641F">
              <w:rPr>
                <w:sz w:val="26"/>
                <w:szCs w:val="26"/>
              </w:rPr>
              <w:t>1.4</w:t>
            </w:r>
          </w:p>
        </w:tc>
        <w:tc>
          <w:tcPr>
            <w:tcW w:w="1924" w:type="pct"/>
            <w:tcBorders>
              <w:top w:val="dotted" w:sz="4" w:space="0" w:color="auto"/>
              <w:left w:val="nil"/>
              <w:bottom w:val="single" w:sz="4" w:space="0" w:color="auto"/>
              <w:right w:val="single" w:sz="4" w:space="0" w:color="auto"/>
            </w:tcBorders>
            <w:shd w:val="clear" w:color="auto" w:fill="auto"/>
          </w:tcPr>
          <w:p w:rsidR="00B800AF" w:rsidRPr="0002641F" w:rsidRDefault="00B800AF" w:rsidP="00B800AF">
            <w:pPr>
              <w:spacing w:before="60" w:after="60" w:line="259" w:lineRule="auto"/>
              <w:jc w:val="both"/>
              <w:rPr>
                <w:sz w:val="26"/>
                <w:szCs w:val="26"/>
              </w:rPr>
            </w:pPr>
            <w:r w:rsidRPr="0002641F">
              <w:rPr>
                <w:sz w:val="26"/>
                <w:szCs w:val="26"/>
              </w:rPr>
              <w:t>Phương tiện có tải trọng từ 20 tấn trở lên, xe container 40Feet</w:t>
            </w:r>
          </w:p>
        </w:tc>
        <w:tc>
          <w:tcPr>
            <w:tcW w:w="756" w:type="pct"/>
            <w:tcBorders>
              <w:top w:val="dotted" w:sz="4" w:space="0" w:color="auto"/>
              <w:left w:val="nil"/>
              <w:bottom w:val="single" w:sz="4" w:space="0" w:color="auto"/>
              <w:right w:val="single" w:sz="4" w:space="0" w:color="auto"/>
            </w:tcBorders>
            <w:shd w:val="clear" w:color="auto" w:fill="auto"/>
          </w:tcPr>
          <w:p w:rsidR="00B800AF" w:rsidRPr="0002641F" w:rsidRDefault="00B800AF" w:rsidP="00B800AF">
            <w:pPr>
              <w:spacing w:before="60" w:after="60" w:line="259" w:lineRule="auto"/>
              <w:jc w:val="center"/>
              <w:rPr>
                <w:sz w:val="26"/>
                <w:szCs w:val="26"/>
              </w:rPr>
            </w:pPr>
            <w:r w:rsidRPr="0002641F">
              <w:rPr>
                <w:sz w:val="26"/>
                <w:szCs w:val="26"/>
              </w:rPr>
              <w:t>đồng/xe/lượt</w:t>
            </w:r>
          </w:p>
        </w:tc>
        <w:tc>
          <w:tcPr>
            <w:tcW w:w="688" w:type="pct"/>
            <w:tcBorders>
              <w:top w:val="dotted" w:sz="4" w:space="0" w:color="auto"/>
              <w:left w:val="nil"/>
              <w:bottom w:val="single"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1.300.000</w:t>
            </w:r>
          </w:p>
        </w:tc>
        <w:tc>
          <w:tcPr>
            <w:tcW w:w="687" w:type="pct"/>
            <w:tcBorders>
              <w:top w:val="dotted" w:sz="4" w:space="0" w:color="auto"/>
              <w:left w:val="nil"/>
              <w:bottom w:val="single" w:sz="4" w:space="0" w:color="auto"/>
              <w:right w:val="single" w:sz="4" w:space="0" w:color="auto"/>
            </w:tcBorders>
            <w:vAlign w:val="center"/>
          </w:tcPr>
          <w:p w:rsidR="00B800AF" w:rsidRPr="0002641F" w:rsidRDefault="00B800AF" w:rsidP="00B800AF">
            <w:pPr>
              <w:spacing w:before="60" w:after="60" w:line="259" w:lineRule="auto"/>
              <w:jc w:val="right"/>
              <w:rPr>
                <w:sz w:val="26"/>
                <w:szCs w:val="26"/>
              </w:rPr>
            </w:pPr>
            <w:r w:rsidRPr="0002641F">
              <w:rPr>
                <w:sz w:val="26"/>
                <w:szCs w:val="26"/>
              </w:rPr>
              <w:t>260.000</w:t>
            </w:r>
          </w:p>
        </w:tc>
        <w:tc>
          <w:tcPr>
            <w:tcW w:w="618" w:type="pct"/>
            <w:tcBorders>
              <w:top w:val="dotted" w:sz="4" w:space="0" w:color="auto"/>
              <w:left w:val="single" w:sz="4" w:space="0" w:color="auto"/>
              <w:bottom w:val="single" w:sz="4" w:space="0" w:color="auto"/>
              <w:right w:val="single" w:sz="4" w:space="0" w:color="auto"/>
            </w:tcBorders>
            <w:shd w:val="clear" w:color="auto" w:fill="auto"/>
            <w:noWrap/>
            <w:vAlign w:val="center"/>
          </w:tcPr>
          <w:p w:rsidR="00B800AF" w:rsidRPr="0002641F" w:rsidRDefault="00B800AF" w:rsidP="00B800AF">
            <w:pPr>
              <w:spacing w:before="60" w:after="60" w:line="259" w:lineRule="auto"/>
              <w:jc w:val="right"/>
              <w:rPr>
                <w:sz w:val="26"/>
                <w:szCs w:val="26"/>
              </w:rPr>
            </w:pPr>
            <w:r w:rsidRPr="0002641F">
              <w:rPr>
                <w:sz w:val="26"/>
                <w:szCs w:val="26"/>
              </w:rPr>
              <w:t>1.040.000</w:t>
            </w:r>
          </w:p>
        </w:tc>
      </w:tr>
      <w:tr w:rsidR="0079229B" w:rsidRPr="0002641F" w:rsidTr="0079229B">
        <w:trPr>
          <w:trHeight w:val="227"/>
          <w:tblHeader/>
        </w:trPr>
        <w:tc>
          <w:tcPr>
            <w:tcW w:w="327" w:type="pct"/>
            <w:tcBorders>
              <w:top w:val="single"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76" w:lineRule="auto"/>
              <w:jc w:val="center"/>
              <w:rPr>
                <w:sz w:val="26"/>
                <w:szCs w:val="26"/>
              </w:rPr>
            </w:pPr>
            <w:r w:rsidRPr="0002641F">
              <w:rPr>
                <w:sz w:val="26"/>
                <w:szCs w:val="26"/>
              </w:rPr>
              <w:t>2</w:t>
            </w:r>
          </w:p>
        </w:tc>
        <w:tc>
          <w:tcPr>
            <w:tcW w:w="1924" w:type="pct"/>
            <w:tcBorders>
              <w:top w:val="single"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both"/>
              <w:rPr>
                <w:b/>
                <w:bCs/>
                <w:sz w:val="26"/>
                <w:szCs w:val="26"/>
              </w:rPr>
            </w:pPr>
            <w:r w:rsidRPr="0002641F">
              <w:rPr>
                <w:b/>
                <w:bCs/>
                <w:sz w:val="26"/>
                <w:szCs w:val="26"/>
              </w:rPr>
              <w:t>Phương tiện vận tải chở hàng hóa khác</w:t>
            </w:r>
          </w:p>
        </w:tc>
        <w:tc>
          <w:tcPr>
            <w:tcW w:w="756" w:type="pct"/>
            <w:tcBorders>
              <w:top w:val="single"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center"/>
              <w:rPr>
                <w:b/>
                <w:bCs/>
                <w:sz w:val="26"/>
                <w:szCs w:val="26"/>
              </w:rPr>
            </w:pPr>
          </w:p>
        </w:tc>
        <w:tc>
          <w:tcPr>
            <w:tcW w:w="688" w:type="pct"/>
            <w:tcBorders>
              <w:top w:val="single"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p>
        </w:tc>
        <w:tc>
          <w:tcPr>
            <w:tcW w:w="687" w:type="pct"/>
            <w:tcBorders>
              <w:top w:val="single" w:sz="4" w:space="0" w:color="auto"/>
              <w:left w:val="nil"/>
              <w:bottom w:val="dotted" w:sz="4" w:space="0" w:color="auto"/>
              <w:right w:val="single" w:sz="4" w:space="0" w:color="auto"/>
            </w:tcBorders>
            <w:vAlign w:val="center"/>
          </w:tcPr>
          <w:p w:rsidR="00B800AF" w:rsidRPr="0002641F" w:rsidRDefault="00B800AF" w:rsidP="00B800AF">
            <w:pPr>
              <w:spacing w:before="60" w:after="60" w:line="276" w:lineRule="auto"/>
              <w:jc w:val="right"/>
              <w:rPr>
                <w:sz w:val="26"/>
                <w:szCs w:val="26"/>
              </w:rPr>
            </w:pPr>
          </w:p>
        </w:tc>
        <w:tc>
          <w:tcPr>
            <w:tcW w:w="618" w:type="pct"/>
            <w:tcBorders>
              <w:top w:val="single"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76" w:lineRule="auto"/>
              <w:jc w:val="center"/>
              <w:rPr>
                <w:sz w:val="26"/>
                <w:szCs w:val="26"/>
              </w:rPr>
            </w:pPr>
            <w:r w:rsidRPr="0002641F">
              <w:rPr>
                <w:sz w:val="26"/>
                <w:szCs w:val="26"/>
              </w:rPr>
              <w:t>2.1</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both"/>
              <w:rPr>
                <w:sz w:val="26"/>
                <w:szCs w:val="26"/>
              </w:rPr>
            </w:pPr>
            <w:r w:rsidRPr="0002641F">
              <w:rPr>
                <w:sz w:val="26"/>
                <w:szCs w:val="26"/>
              </w:rPr>
              <w:t>Phương tiện có tải trọng dưới 5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200.000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76" w:lineRule="auto"/>
              <w:jc w:val="right"/>
              <w:rPr>
                <w:sz w:val="26"/>
                <w:szCs w:val="26"/>
              </w:rPr>
            </w:pPr>
            <w:r w:rsidRPr="0002641F">
              <w:rPr>
                <w:sz w:val="26"/>
                <w:szCs w:val="26"/>
              </w:rPr>
              <w:t>40.000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160.000</w:t>
            </w:r>
          </w:p>
        </w:tc>
      </w:tr>
      <w:tr w:rsidR="0079229B" w:rsidRPr="0002641F" w:rsidTr="0079229B">
        <w:trPr>
          <w:trHeight w:val="693"/>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vAlign w:val="center"/>
          </w:tcPr>
          <w:p w:rsidR="0002641F" w:rsidRPr="0002641F" w:rsidRDefault="0002641F" w:rsidP="0002641F">
            <w:pPr>
              <w:ind w:left="-108" w:right="-107"/>
              <w:jc w:val="center"/>
              <w:rPr>
                <w:b/>
                <w:bCs/>
                <w:sz w:val="26"/>
                <w:szCs w:val="26"/>
              </w:rPr>
            </w:pPr>
            <w:r w:rsidRPr="0002641F">
              <w:rPr>
                <w:b/>
                <w:bCs/>
                <w:sz w:val="26"/>
                <w:szCs w:val="26"/>
              </w:rPr>
              <w:lastRenderedPageBreak/>
              <w:t>STT</w:t>
            </w:r>
          </w:p>
        </w:tc>
        <w:tc>
          <w:tcPr>
            <w:tcW w:w="1924" w:type="pct"/>
            <w:tcBorders>
              <w:top w:val="dotted" w:sz="4" w:space="0" w:color="auto"/>
              <w:left w:val="nil"/>
              <w:bottom w:val="dotted" w:sz="4" w:space="0" w:color="auto"/>
              <w:right w:val="single" w:sz="4" w:space="0" w:color="auto"/>
            </w:tcBorders>
            <w:shd w:val="clear" w:color="auto" w:fill="auto"/>
            <w:vAlign w:val="center"/>
          </w:tcPr>
          <w:p w:rsidR="0002641F" w:rsidRPr="0002641F" w:rsidRDefault="0002641F" w:rsidP="0002641F">
            <w:pPr>
              <w:jc w:val="center"/>
              <w:rPr>
                <w:b/>
                <w:bCs/>
                <w:sz w:val="26"/>
                <w:szCs w:val="26"/>
              </w:rPr>
            </w:pPr>
            <w:r w:rsidRPr="0002641F">
              <w:rPr>
                <w:b/>
                <w:bCs/>
                <w:sz w:val="26"/>
                <w:szCs w:val="26"/>
              </w:rPr>
              <w:t>Danh mục</w:t>
            </w:r>
          </w:p>
        </w:tc>
        <w:tc>
          <w:tcPr>
            <w:tcW w:w="756" w:type="pct"/>
            <w:tcBorders>
              <w:top w:val="dotted" w:sz="4" w:space="0" w:color="auto"/>
              <w:left w:val="nil"/>
              <w:bottom w:val="dotted" w:sz="4" w:space="0" w:color="auto"/>
              <w:right w:val="single" w:sz="4" w:space="0" w:color="auto"/>
            </w:tcBorders>
            <w:shd w:val="clear" w:color="auto" w:fill="auto"/>
            <w:vAlign w:val="center"/>
          </w:tcPr>
          <w:p w:rsidR="0002641F" w:rsidRPr="0002641F" w:rsidRDefault="0002641F" w:rsidP="0002641F">
            <w:pPr>
              <w:jc w:val="center"/>
              <w:rPr>
                <w:b/>
                <w:bCs/>
                <w:sz w:val="26"/>
                <w:szCs w:val="26"/>
              </w:rPr>
            </w:pPr>
            <w:r w:rsidRPr="0002641F">
              <w:rPr>
                <w:b/>
                <w:bCs/>
                <w:sz w:val="26"/>
                <w:szCs w:val="26"/>
              </w:rPr>
              <w:t>ĐVT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02641F" w:rsidRPr="0002641F" w:rsidRDefault="0002641F" w:rsidP="0002641F">
            <w:pPr>
              <w:jc w:val="center"/>
              <w:rPr>
                <w:b/>
                <w:bCs/>
                <w:sz w:val="26"/>
                <w:szCs w:val="26"/>
              </w:rPr>
            </w:pPr>
            <w:r w:rsidRPr="0002641F">
              <w:rPr>
                <w:b/>
                <w:bCs/>
                <w:sz w:val="26"/>
                <w:szCs w:val="26"/>
              </w:rPr>
              <w:t>Mức thu hiện hành</w:t>
            </w:r>
          </w:p>
        </w:tc>
        <w:tc>
          <w:tcPr>
            <w:tcW w:w="687" w:type="pct"/>
            <w:tcBorders>
              <w:top w:val="dotted" w:sz="4" w:space="0" w:color="auto"/>
              <w:left w:val="nil"/>
              <w:bottom w:val="dotted" w:sz="4" w:space="0" w:color="auto"/>
              <w:right w:val="single" w:sz="4" w:space="0" w:color="auto"/>
            </w:tcBorders>
            <w:vAlign w:val="center"/>
          </w:tcPr>
          <w:p w:rsidR="0002641F" w:rsidRPr="0002641F" w:rsidRDefault="0002641F" w:rsidP="0002641F">
            <w:pPr>
              <w:jc w:val="center"/>
              <w:rPr>
                <w:b/>
                <w:bCs/>
                <w:sz w:val="26"/>
                <w:szCs w:val="26"/>
              </w:rPr>
            </w:pPr>
            <w:r w:rsidRPr="0002641F">
              <w:rPr>
                <w:b/>
                <w:bCs/>
                <w:sz w:val="26"/>
                <w:szCs w:val="26"/>
              </w:rPr>
              <w:t>Mức đề nghị giảm</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02641F" w:rsidRPr="0002641F" w:rsidRDefault="0002641F" w:rsidP="0002641F">
            <w:pPr>
              <w:jc w:val="center"/>
              <w:rPr>
                <w:b/>
                <w:bCs/>
                <w:sz w:val="26"/>
                <w:szCs w:val="26"/>
              </w:rPr>
            </w:pPr>
            <w:r w:rsidRPr="0002641F">
              <w:rPr>
                <w:b/>
                <w:bCs/>
                <w:sz w:val="26"/>
                <w:szCs w:val="26"/>
              </w:rPr>
              <w:t>Mức thu sau giảm</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76" w:lineRule="auto"/>
              <w:jc w:val="center"/>
              <w:rPr>
                <w:sz w:val="26"/>
                <w:szCs w:val="26"/>
              </w:rPr>
            </w:pPr>
            <w:r w:rsidRPr="0002641F">
              <w:rPr>
                <w:sz w:val="26"/>
                <w:szCs w:val="26"/>
              </w:rPr>
              <w:t>2.2</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both"/>
              <w:rPr>
                <w:sz w:val="26"/>
                <w:szCs w:val="26"/>
              </w:rPr>
            </w:pPr>
            <w:r w:rsidRPr="0002641F">
              <w:rPr>
                <w:sz w:val="26"/>
                <w:szCs w:val="26"/>
              </w:rPr>
              <w:t>Phương tiện có tải trọng từ 5 tấn đến dưới 10 tấn</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300.000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76" w:lineRule="auto"/>
              <w:jc w:val="right"/>
              <w:rPr>
                <w:sz w:val="26"/>
                <w:szCs w:val="26"/>
              </w:rPr>
            </w:pPr>
            <w:r w:rsidRPr="0002641F">
              <w:rPr>
                <w:sz w:val="26"/>
                <w:szCs w:val="26"/>
              </w:rPr>
              <w:t>60.000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240.000</w:t>
            </w:r>
          </w:p>
        </w:tc>
      </w:tr>
      <w:tr w:rsidR="0079229B" w:rsidRPr="0002641F" w:rsidTr="0079229B">
        <w:trPr>
          <w:trHeight w:val="227"/>
          <w:tblHeader/>
        </w:trPr>
        <w:tc>
          <w:tcPr>
            <w:tcW w:w="327" w:type="pct"/>
            <w:tcBorders>
              <w:top w:val="dotted" w:sz="4" w:space="0" w:color="auto"/>
              <w:left w:val="single" w:sz="4" w:space="0" w:color="auto"/>
              <w:bottom w:val="dotted" w:sz="4" w:space="0" w:color="auto"/>
              <w:right w:val="single" w:sz="4" w:space="0" w:color="auto"/>
            </w:tcBorders>
            <w:shd w:val="clear" w:color="auto" w:fill="auto"/>
            <w:noWrap/>
          </w:tcPr>
          <w:p w:rsidR="00B800AF" w:rsidRPr="0002641F" w:rsidRDefault="00B800AF" w:rsidP="00B800AF">
            <w:pPr>
              <w:spacing w:before="60" w:after="60" w:line="276" w:lineRule="auto"/>
              <w:jc w:val="center"/>
              <w:rPr>
                <w:sz w:val="26"/>
                <w:szCs w:val="26"/>
              </w:rPr>
            </w:pPr>
            <w:r w:rsidRPr="0002641F">
              <w:rPr>
                <w:sz w:val="26"/>
                <w:szCs w:val="26"/>
              </w:rPr>
              <w:t>2.3</w:t>
            </w:r>
          </w:p>
        </w:tc>
        <w:tc>
          <w:tcPr>
            <w:tcW w:w="1924"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both"/>
              <w:rPr>
                <w:sz w:val="26"/>
                <w:szCs w:val="26"/>
              </w:rPr>
            </w:pPr>
            <w:r w:rsidRPr="0002641F">
              <w:rPr>
                <w:sz w:val="26"/>
                <w:szCs w:val="26"/>
              </w:rPr>
              <w:t>Phương tiện có tải trọng từ 10 tấn đến dưới 20 tấn, xe container 20Feet</w:t>
            </w:r>
          </w:p>
        </w:tc>
        <w:tc>
          <w:tcPr>
            <w:tcW w:w="756" w:type="pct"/>
            <w:tcBorders>
              <w:top w:val="dotted" w:sz="4" w:space="0" w:color="auto"/>
              <w:left w:val="nil"/>
              <w:bottom w:val="dotted" w:sz="4" w:space="0" w:color="auto"/>
              <w:right w:val="single" w:sz="4" w:space="0" w:color="auto"/>
            </w:tcBorders>
            <w:shd w:val="clear" w:color="auto" w:fill="auto"/>
          </w:tcPr>
          <w:p w:rsidR="00B800AF" w:rsidRPr="0002641F" w:rsidRDefault="00B800AF" w:rsidP="00B800AF">
            <w:pPr>
              <w:spacing w:before="60" w:after="60" w:line="276" w:lineRule="auto"/>
              <w:jc w:val="center"/>
              <w:rPr>
                <w:sz w:val="26"/>
                <w:szCs w:val="26"/>
              </w:rPr>
            </w:pPr>
            <w:r w:rsidRPr="0002641F">
              <w:rPr>
                <w:sz w:val="26"/>
                <w:szCs w:val="26"/>
              </w:rPr>
              <w:t>đồng/xe/lượt</w:t>
            </w:r>
          </w:p>
        </w:tc>
        <w:tc>
          <w:tcPr>
            <w:tcW w:w="688" w:type="pct"/>
            <w:tcBorders>
              <w:top w:val="dotted" w:sz="4" w:space="0" w:color="auto"/>
              <w:left w:val="nil"/>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650.000</w:t>
            </w:r>
          </w:p>
        </w:tc>
        <w:tc>
          <w:tcPr>
            <w:tcW w:w="687" w:type="pct"/>
            <w:tcBorders>
              <w:top w:val="dotted" w:sz="4" w:space="0" w:color="auto"/>
              <w:left w:val="nil"/>
              <w:bottom w:val="dotted" w:sz="4" w:space="0" w:color="auto"/>
              <w:right w:val="single" w:sz="4" w:space="0" w:color="auto"/>
            </w:tcBorders>
            <w:vAlign w:val="center"/>
          </w:tcPr>
          <w:p w:rsidR="00B800AF" w:rsidRPr="0002641F" w:rsidRDefault="00B800AF" w:rsidP="00B800AF">
            <w:pPr>
              <w:spacing w:before="60" w:after="60" w:line="276" w:lineRule="auto"/>
              <w:jc w:val="right"/>
              <w:rPr>
                <w:sz w:val="26"/>
                <w:szCs w:val="26"/>
              </w:rPr>
            </w:pPr>
            <w:r w:rsidRPr="0002641F">
              <w:rPr>
                <w:sz w:val="26"/>
                <w:szCs w:val="26"/>
              </w:rPr>
              <w:t>130.000</w:t>
            </w:r>
          </w:p>
        </w:tc>
        <w:tc>
          <w:tcPr>
            <w:tcW w:w="618" w:type="pct"/>
            <w:tcBorders>
              <w:top w:val="dotted" w:sz="4" w:space="0" w:color="auto"/>
              <w:left w:val="single" w:sz="4" w:space="0" w:color="auto"/>
              <w:bottom w:val="dotted"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520.000</w:t>
            </w:r>
          </w:p>
        </w:tc>
      </w:tr>
      <w:tr w:rsidR="0079229B" w:rsidRPr="0002641F" w:rsidTr="0079229B">
        <w:trPr>
          <w:trHeight w:val="227"/>
          <w:tblHeader/>
        </w:trPr>
        <w:tc>
          <w:tcPr>
            <w:tcW w:w="327" w:type="pct"/>
            <w:tcBorders>
              <w:top w:val="dotted" w:sz="4" w:space="0" w:color="auto"/>
              <w:left w:val="single" w:sz="4" w:space="0" w:color="auto"/>
              <w:bottom w:val="single" w:sz="4" w:space="0" w:color="auto"/>
              <w:right w:val="single" w:sz="4" w:space="0" w:color="auto"/>
            </w:tcBorders>
            <w:shd w:val="clear" w:color="auto" w:fill="auto"/>
            <w:noWrap/>
          </w:tcPr>
          <w:p w:rsidR="00B800AF" w:rsidRPr="0002641F" w:rsidRDefault="00B800AF" w:rsidP="00B800AF">
            <w:pPr>
              <w:spacing w:before="60" w:after="60" w:line="276" w:lineRule="auto"/>
              <w:jc w:val="center"/>
              <w:rPr>
                <w:sz w:val="26"/>
                <w:szCs w:val="26"/>
              </w:rPr>
            </w:pPr>
            <w:r w:rsidRPr="0002641F">
              <w:rPr>
                <w:sz w:val="26"/>
                <w:szCs w:val="26"/>
              </w:rPr>
              <w:t>2.4</w:t>
            </w:r>
          </w:p>
        </w:tc>
        <w:tc>
          <w:tcPr>
            <w:tcW w:w="1924" w:type="pct"/>
            <w:tcBorders>
              <w:top w:val="dotted" w:sz="4" w:space="0" w:color="auto"/>
              <w:left w:val="nil"/>
              <w:bottom w:val="single" w:sz="4" w:space="0" w:color="auto"/>
              <w:right w:val="single" w:sz="4" w:space="0" w:color="auto"/>
            </w:tcBorders>
            <w:shd w:val="clear" w:color="auto" w:fill="auto"/>
          </w:tcPr>
          <w:p w:rsidR="00B800AF" w:rsidRPr="0002641F" w:rsidRDefault="00B800AF" w:rsidP="00B800AF">
            <w:pPr>
              <w:spacing w:before="60" w:after="60" w:line="276" w:lineRule="auto"/>
              <w:jc w:val="both"/>
              <w:rPr>
                <w:sz w:val="26"/>
                <w:szCs w:val="26"/>
              </w:rPr>
            </w:pPr>
            <w:r w:rsidRPr="0002641F">
              <w:rPr>
                <w:sz w:val="26"/>
                <w:szCs w:val="26"/>
              </w:rPr>
              <w:t>Phương tiện có tải trọng từ 20 tấn trở lên, xe container 40Feet</w:t>
            </w:r>
          </w:p>
        </w:tc>
        <w:tc>
          <w:tcPr>
            <w:tcW w:w="756" w:type="pct"/>
            <w:tcBorders>
              <w:top w:val="dotted" w:sz="4" w:space="0" w:color="auto"/>
              <w:left w:val="nil"/>
              <w:bottom w:val="single" w:sz="4" w:space="0" w:color="auto"/>
              <w:right w:val="single" w:sz="4" w:space="0" w:color="auto"/>
            </w:tcBorders>
            <w:shd w:val="clear" w:color="auto" w:fill="auto"/>
          </w:tcPr>
          <w:p w:rsidR="00B800AF" w:rsidRPr="0002641F" w:rsidRDefault="00B800AF" w:rsidP="00B800AF">
            <w:pPr>
              <w:spacing w:before="60" w:after="60" w:line="276" w:lineRule="auto"/>
              <w:jc w:val="center"/>
              <w:rPr>
                <w:sz w:val="26"/>
                <w:szCs w:val="26"/>
              </w:rPr>
            </w:pPr>
            <w:r w:rsidRPr="0002641F">
              <w:rPr>
                <w:sz w:val="26"/>
                <w:szCs w:val="26"/>
              </w:rPr>
              <w:t>đồng/xe/lượt</w:t>
            </w:r>
          </w:p>
        </w:tc>
        <w:tc>
          <w:tcPr>
            <w:tcW w:w="688" w:type="pct"/>
            <w:tcBorders>
              <w:top w:val="dotted" w:sz="4" w:space="0" w:color="auto"/>
              <w:left w:val="nil"/>
              <w:bottom w:val="single"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1.100.000</w:t>
            </w:r>
          </w:p>
        </w:tc>
        <w:tc>
          <w:tcPr>
            <w:tcW w:w="687" w:type="pct"/>
            <w:tcBorders>
              <w:top w:val="dotted" w:sz="4" w:space="0" w:color="auto"/>
              <w:left w:val="nil"/>
              <w:bottom w:val="single" w:sz="4" w:space="0" w:color="auto"/>
              <w:right w:val="single" w:sz="4" w:space="0" w:color="auto"/>
            </w:tcBorders>
            <w:vAlign w:val="center"/>
          </w:tcPr>
          <w:p w:rsidR="00B800AF" w:rsidRPr="0002641F" w:rsidRDefault="00B800AF" w:rsidP="00B800AF">
            <w:pPr>
              <w:spacing w:before="60" w:after="60" w:line="276" w:lineRule="auto"/>
              <w:jc w:val="right"/>
              <w:rPr>
                <w:sz w:val="26"/>
                <w:szCs w:val="26"/>
              </w:rPr>
            </w:pPr>
            <w:r w:rsidRPr="0002641F">
              <w:rPr>
                <w:sz w:val="26"/>
                <w:szCs w:val="26"/>
              </w:rPr>
              <w:t>220.000</w:t>
            </w:r>
          </w:p>
        </w:tc>
        <w:tc>
          <w:tcPr>
            <w:tcW w:w="618" w:type="pct"/>
            <w:tcBorders>
              <w:top w:val="dotted" w:sz="4" w:space="0" w:color="auto"/>
              <w:left w:val="single" w:sz="4" w:space="0" w:color="auto"/>
              <w:bottom w:val="single" w:sz="4" w:space="0" w:color="auto"/>
              <w:right w:val="single" w:sz="4" w:space="0" w:color="auto"/>
            </w:tcBorders>
            <w:shd w:val="clear" w:color="auto" w:fill="auto"/>
            <w:noWrap/>
            <w:vAlign w:val="center"/>
          </w:tcPr>
          <w:p w:rsidR="00B800AF" w:rsidRPr="0002641F" w:rsidRDefault="00B800AF" w:rsidP="00B800AF">
            <w:pPr>
              <w:spacing w:before="60" w:after="60" w:line="276" w:lineRule="auto"/>
              <w:jc w:val="right"/>
              <w:rPr>
                <w:sz w:val="26"/>
                <w:szCs w:val="26"/>
              </w:rPr>
            </w:pPr>
            <w:r w:rsidRPr="0002641F">
              <w:rPr>
                <w:sz w:val="26"/>
                <w:szCs w:val="26"/>
              </w:rPr>
              <w:t>880.000</w:t>
            </w:r>
          </w:p>
        </w:tc>
      </w:tr>
    </w:tbl>
    <w:p w:rsidR="00B800AF" w:rsidRPr="0002641F" w:rsidRDefault="00B800AF" w:rsidP="00B800AF">
      <w:pPr>
        <w:spacing w:before="60" w:after="60" w:line="276" w:lineRule="auto"/>
        <w:ind w:firstLine="567"/>
        <w:jc w:val="center"/>
        <w:rPr>
          <w:b/>
          <w:bCs/>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B51757" w:rsidRPr="0002641F" w:rsidRDefault="00B51757" w:rsidP="002F59A4">
      <w:pPr>
        <w:jc w:val="both"/>
        <w:rPr>
          <w:sz w:val="26"/>
          <w:szCs w:val="26"/>
          <w:lang w:val="pt-BR"/>
        </w:rPr>
      </w:pPr>
    </w:p>
    <w:p w:rsidR="008E2985" w:rsidRDefault="008E2985" w:rsidP="002F59A4">
      <w:pPr>
        <w:jc w:val="both"/>
        <w:rPr>
          <w:sz w:val="26"/>
          <w:szCs w:val="26"/>
          <w:lang w:val="pt-BR"/>
        </w:rPr>
      </w:pPr>
    </w:p>
    <w:p w:rsidR="0079229B" w:rsidRDefault="0079229B" w:rsidP="002F59A4">
      <w:pPr>
        <w:jc w:val="both"/>
        <w:rPr>
          <w:sz w:val="26"/>
          <w:szCs w:val="26"/>
          <w:lang w:val="pt-BR"/>
        </w:rPr>
      </w:pPr>
    </w:p>
    <w:p w:rsidR="0079229B" w:rsidRDefault="0079229B" w:rsidP="0079229B">
      <w:pPr>
        <w:rPr>
          <w:sz w:val="26"/>
          <w:szCs w:val="26"/>
          <w:lang w:val="pt-BR"/>
        </w:rPr>
      </w:pPr>
      <w:bookmarkStart w:id="0" w:name="_GoBack"/>
      <w:bookmarkEnd w:id="0"/>
    </w:p>
    <w:sectPr w:rsidR="0079229B" w:rsidSect="0079229B">
      <w:headerReference w:type="default" r:id="rId8"/>
      <w:type w:val="continuous"/>
      <w:pgSz w:w="11906" w:h="16838" w:code="9"/>
      <w:pgMar w:top="1135" w:right="1134" w:bottom="1134" w:left="1701" w:header="0"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391" w:rsidRDefault="00B82391">
      <w:r>
        <w:separator/>
      </w:r>
    </w:p>
  </w:endnote>
  <w:endnote w:type="continuationSeparator" w:id="0">
    <w:p w:rsidR="00B82391" w:rsidRDefault="00B8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391" w:rsidRDefault="00B82391">
      <w:r>
        <w:separator/>
      </w:r>
    </w:p>
  </w:footnote>
  <w:footnote w:type="continuationSeparator" w:id="0">
    <w:p w:rsidR="00B82391" w:rsidRDefault="00B82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312678"/>
      <w:docPartObj>
        <w:docPartGallery w:val="Page Numbers (Top of Page)"/>
        <w:docPartUnique/>
      </w:docPartObj>
    </w:sdtPr>
    <w:sdtEndPr>
      <w:rPr>
        <w:noProof/>
        <w:sz w:val="26"/>
        <w:szCs w:val="26"/>
      </w:rPr>
    </w:sdtEndPr>
    <w:sdtContent>
      <w:p w:rsidR="0002641F" w:rsidRPr="007E7FC6" w:rsidRDefault="0002641F">
        <w:pPr>
          <w:pStyle w:val="Header"/>
          <w:jc w:val="center"/>
          <w:rPr>
            <w:sz w:val="26"/>
            <w:szCs w:val="26"/>
          </w:rPr>
        </w:pPr>
        <w:r>
          <w:rPr>
            <w:sz w:val="26"/>
            <w:szCs w:val="26"/>
          </w:rPr>
          <w:tab/>
        </w:r>
      </w:p>
    </w:sdtContent>
  </w:sdt>
  <w:p w:rsidR="0002641F" w:rsidRDefault="000264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1F6B3A"/>
    <w:multiLevelType w:val="hybridMultilevel"/>
    <w:tmpl w:val="3CF6141C"/>
    <w:lvl w:ilvl="0" w:tplc="C10C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9B17F96"/>
    <w:multiLevelType w:val="hybridMultilevel"/>
    <w:tmpl w:val="AC5CEF6E"/>
    <w:lvl w:ilvl="0" w:tplc="A96C3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23C4623"/>
    <w:multiLevelType w:val="hybridMultilevel"/>
    <w:tmpl w:val="B2F86CFE"/>
    <w:lvl w:ilvl="0" w:tplc="5CE898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109"/>
    <w:rsid w:val="00000E15"/>
    <w:rsid w:val="00004ACC"/>
    <w:rsid w:val="000052D5"/>
    <w:rsid w:val="0001236C"/>
    <w:rsid w:val="00012FBE"/>
    <w:rsid w:val="00022E23"/>
    <w:rsid w:val="0002491E"/>
    <w:rsid w:val="0002641F"/>
    <w:rsid w:val="00026EFB"/>
    <w:rsid w:val="00030213"/>
    <w:rsid w:val="00037896"/>
    <w:rsid w:val="000423F4"/>
    <w:rsid w:val="000548A2"/>
    <w:rsid w:val="00063B9C"/>
    <w:rsid w:val="000649C5"/>
    <w:rsid w:val="0006692A"/>
    <w:rsid w:val="00071F2B"/>
    <w:rsid w:val="00077B07"/>
    <w:rsid w:val="00077BC5"/>
    <w:rsid w:val="000817AC"/>
    <w:rsid w:val="00090E1A"/>
    <w:rsid w:val="000957A9"/>
    <w:rsid w:val="000971AB"/>
    <w:rsid w:val="000A1986"/>
    <w:rsid w:val="000A1E41"/>
    <w:rsid w:val="000A1F91"/>
    <w:rsid w:val="000B12F5"/>
    <w:rsid w:val="000B164B"/>
    <w:rsid w:val="000B56CD"/>
    <w:rsid w:val="000B6A17"/>
    <w:rsid w:val="000C0F4F"/>
    <w:rsid w:val="000C122D"/>
    <w:rsid w:val="000C3FE1"/>
    <w:rsid w:val="000C61C2"/>
    <w:rsid w:val="000D0D59"/>
    <w:rsid w:val="000D1A89"/>
    <w:rsid w:val="000D1B9B"/>
    <w:rsid w:val="000D3D94"/>
    <w:rsid w:val="000D60B6"/>
    <w:rsid w:val="000D70E3"/>
    <w:rsid w:val="000D749F"/>
    <w:rsid w:val="000E0ED0"/>
    <w:rsid w:val="000E7750"/>
    <w:rsid w:val="0010355A"/>
    <w:rsid w:val="00106971"/>
    <w:rsid w:val="001164D7"/>
    <w:rsid w:val="00122E5F"/>
    <w:rsid w:val="00125A24"/>
    <w:rsid w:val="00126D3B"/>
    <w:rsid w:val="001271B5"/>
    <w:rsid w:val="00127690"/>
    <w:rsid w:val="00130750"/>
    <w:rsid w:val="001341A9"/>
    <w:rsid w:val="00140723"/>
    <w:rsid w:val="00142B2D"/>
    <w:rsid w:val="00146BCD"/>
    <w:rsid w:val="001504B9"/>
    <w:rsid w:val="001569C2"/>
    <w:rsid w:val="00160B1A"/>
    <w:rsid w:val="001611F7"/>
    <w:rsid w:val="00166B0B"/>
    <w:rsid w:val="00180768"/>
    <w:rsid w:val="00183DA2"/>
    <w:rsid w:val="00185E3B"/>
    <w:rsid w:val="00191B7C"/>
    <w:rsid w:val="0019377A"/>
    <w:rsid w:val="00193DB4"/>
    <w:rsid w:val="001A5E05"/>
    <w:rsid w:val="001B34BD"/>
    <w:rsid w:val="001B4D5C"/>
    <w:rsid w:val="001C0504"/>
    <w:rsid w:val="001C7B39"/>
    <w:rsid w:val="001D4011"/>
    <w:rsid w:val="001D5FD8"/>
    <w:rsid w:val="001D670E"/>
    <w:rsid w:val="001D75C3"/>
    <w:rsid w:val="001E7DAA"/>
    <w:rsid w:val="001F113D"/>
    <w:rsid w:val="00201CEA"/>
    <w:rsid w:val="002043F9"/>
    <w:rsid w:val="00217FE6"/>
    <w:rsid w:val="0022038F"/>
    <w:rsid w:val="00221D5B"/>
    <w:rsid w:val="002223B5"/>
    <w:rsid w:val="00223FD1"/>
    <w:rsid w:val="00224775"/>
    <w:rsid w:val="00226EEB"/>
    <w:rsid w:val="00230619"/>
    <w:rsid w:val="00233614"/>
    <w:rsid w:val="00246D3C"/>
    <w:rsid w:val="00252614"/>
    <w:rsid w:val="00272F48"/>
    <w:rsid w:val="00276562"/>
    <w:rsid w:val="00277260"/>
    <w:rsid w:val="002820AF"/>
    <w:rsid w:val="00290B2D"/>
    <w:rsid w:val="00291D39"/>
    <w:rsid w:val="002938F2"/>
    <w:rsid w:val="00296944"/>
    <w:rsid w:val="002A0EC0"/>
    <w:rsid w:val="002A298B"/>
    <w:rsid w:val="002A7F6E"/>
    <w:rsid w:val="002B02EE"/>
    <w:rsid w:val="002B2A35"/>
    <w:rsid w:val="002C3216"/>
    <w:rsid w:val="002D560E"/>
    <w:rsid w:val="002D7FCF"/>
    <w:rsid w:val="002F2334"/>
    <w:rsid w:val="002F2AA2"/>
    <w:rsid w:val="002F3B4A"/>
    <w:rsid w:val="002F59A4"/>
    <w:rsid w:val="00311929"/>
    <w:rsid w:val="0031314F"/>
    <w:rsid w:val="00322DE0"/>
    <w:rsid w:val="00323128"/>
    <w:rsid w:val="00324B31"/>
    <w:rsid w:val="00325463"/>
    <w:rsid w:val="00332967"/>
    <w:rsid w:val="00334195"/>
    <w:rsid w:val="003426BE"/>
    <w:rsid w:val="0035129E"/>
    <w:rsid w:val="003576FD"/>
    <w:rsid w:val="00360BE2"/>
    <w:rsid w:val="0036413E"/>
    <w:rsid w:val="0037239C"/>
    <w:rsid w:val="0037297F"/>
    <w:rsid w:val="00373152"/>
    <w:rsid w:val="00374E89"/>
    <w:rsid w:val="003802D5"/>
    <w:rsid w:val="00380347"/>
    <w:rsid w:val="00390101"/>
    <w:rsid w:val="00391BA8"/>
    <w:rsid w:val="00395422"/>
    <w:rsid w:val="003A1592"/>
    <w:rsid w:val="003A304C"/>
    <w:rsid w:val="003A7DC2"/>
    <w:rsid w:val="003C20A1"/>
    <w:rsid w:val="003C72FD"/>
    <w:rsid w:val="003E0A3E"/>
    <w:rsid w:val="003E2E8B"/>
    <w:rsid w:val="003E52B3"/>
    <w:rsid w:val="003F02A7"/>
    <w:rsid w:val="003F6088"/>
    <w:rsid w:val="003F6A58"/>
    <w:rsid w:val="004012C6"/>
    <w:rsid w:val="004033C4"/>
    <w:rsid w:val="00403522"/>
    <w:rsid w:val="00406544"/>
    <w:rsid w:val="00410D7F"/>
    <w:rsid w:val="00410FA1"/>
    <w:rsid w:val="004118B8"/>
    <w:rsid w:val="0041190A"/>
    <w:rsid w:val="0041329B"/>
    <w:rsid w:val="0041427C"/>
    <w:rsid w:val="00417391"/>
    <w:rsid w:val="00421891"/>
    <w:rsid w:val="00421E47"/>
    <w:rsid w:val="004240C1"/>
    <w:rsid w:val="0043208F"/>
    <w:rsid w:val="00434E2E"/>
    <w:rsid w:val="0044360B"/>
    <w:rsid w:val="00450A2C"/>
    <w:rsid w:val="004523CA"/>
    <w:rsid w:val="004547E8"/>
    <w:rsid w:val="00462C5F"/>
    <w:rsid w:val="00463B71"/>
    <w:rsid w:val="00474D55"/>
    <w:rsid w:val="00477FEB"/>
    <w:rsid w:val="00482BD1"/>
    <w:rsid w:val="00493AD3"/>
    <w:rsid w:val="00494469"/>
    <w:rsid w:val="00495ACA"/>
    <w:rsid w:val="00496A23"/>
    <w:rsid w:val="004A0B1E"/>
    <w:rsid w:val="004A2D2B"/>
    <w:rsid w:val="004B02FC"/>
    <w:rsid w:val="004B06A2"/>
    <w:rsid w:val="004B173A"/>
    <w:rsid w:val="004B3911"/>
    <w:rsid w:val="004B5CC2"/>
    <w:rsid w:val="004B68F3"/>
    <w:rsid w:val="004C13D7"/>
    <w:rsid w:val="004C75EE"/>
    <w:rsid w:val="004C7EF8"/>
    <w:rsid w:val="004D1D69"/>
    <w:rsid w:val="004E0102"/>
    <w:rsid w:val="004E72C5"/>
    <w:rsid w:val="00504573"/>
    <w:rsid w:val="005155BC"/>
    <w:rsid w:val="00523577"/>
    <w:rsid w:val="00525B3D"/>
    <w:rsid w:val="00531642"/>
    <w:rsid w:val="00532462"/>
    <w:rsid w:val="00532876"/>
    <w:rsid w:val="0054166D"/>
    <w:rsid w:val="005452EE"/>
    <w:rsid w:val="005479C3"/>
    <w:rsid w:val="00550763"/>
    <w:rsid w:val="00550FE7"/>
    <w:rsid w:val="005511AA"/>
    <w:rsid w:val="00555C38"/>
    <w:rsid w:val="0055625F"/>
    <w:rsid w:val="00557E21"/>
    <w:rsid w:val="005616BE"/>
    <w:rsid w:val="00561A7A"/>
    <w:rsid w:val="00561AD4"/>
    <w:rsid w:val="0056237C"/>
    <w:rsid w:val="005730ED"/>
    <w:rsid w:val="00577BFC"/>
    <w:rsid w:val="0058790C"/>
    <w:rsid w:val="005951CB"/>
    <w:rsid w:val="005A4810"/>
    <w:rsid w:val="005A64DF"/>
    <w:rsid w:val="005B04BE"/>
    <w:rsid w:val="005B0A09"/>
    <w:rsid w:val="005B1FDF"/>
    <w:rsid w:val="005B2850"/>
    <w:rsid w:val="005B678D"/>
    <w:rsid w:val="005B7026"/>
    <w:rsid w:val="005C2714"/>
    <w:rsid w:val="005D55C6"/>
    <w:rsid w:val="005D55C7"/>
    <w:rsid w:val="005D5B0B"/>
    <w:rsid w:val="005D77B4"/>
    <w:rsid w:val="005E0E49"/>
    <w:rsid w:val="005E28B6"/>
    <w:rsid w:val="005E427A"/>
    <w:rsid w:val="005E6B23"/>
    <w:rsid w:val="005E758A"/>
    <w:rsid w:val="005E7E28"/>
    <w:rsid w:val="005F211E"/>
    <w:rsid w:val="005F3C48"/>
    <w:rsid w:val="005F4ADA"/>
    <w:rsid w:val="00606531"/>
    <w:rsid w:val="00607FB3"/>
    <w:rsid w:val="00613787"/>
    <w:rsid w:val="00613DA1"/>
    <w:rsid w:val="00615D71"/>
    <w:rsid w:val="00616F7E"/>
    <w:rsid w:val="00620FC4"/>
    <w:rsid w:val="006210D2"/>
    <w:rsid w:val="00623C5D"/>
    <w:rsid w:val="00623F24"/>
    <w:rsid w:val="00625C41"/>
    <w:rsid w:val="006341C7"/>
    <w:rsid w:val="00634A6D"/>
    <w:rsid w:val="00640295"/>
    <w:rsid w:val="006404BF"/>
    <w:rsid w:val="006461A0"/>
    <w:rsid w:val="00651807"/>
    <w:rsid w:val="00655E78"/>
    <w:rsid w:val="00664451"/>
    <w:rsid w:val="006655A7"/>
    <w:rsid w:val="006760E6"/>
    <w:rsid w:val="00681E44"/>
    <w:rsid w:val="0068206C"/>
    <w:rsid w:val="00686A4B"/>
    <w:rsid w:val="006917DB"/>
    <w:rsid w:val="006918EC"/>
    <w:rsid w:val="00695029"/>
    <w:rsid w:val="00696CBF"/>
    <w:rsid w:val="00696EA0"/>
    <w:rsid w:val="00697D63"/>
    <w:rsid w:val="006A020B"/>
    <w:rsid w:val="006A10EA"/>
    <w:rsid w:val="006B0E56"/>
    <w:rsid w:val="006C6B5E"/>
    <w:rsid w:val="006C76F9"/>
    <w:rsid w:val="006D0420"/>
    <w:rsid w:val="006D5CED"/>
    <w:rsid w:val="006D5F97"/>
    <w:rsid w:val="006D6210"/>
    <w:rsid w:val="006D73F4"/>
    <w:rsid w:val="006F49EF"/>
    <w:rsid w:val="007028E6"/>
    <w:rsid w:val="00702BBD"/>
    <w:rsid w:val="00706430"/>
    <w:rsid w:val="007071D9"/>
    <w:rsid w:val="007104CB"/>
    <w:rsid w:val="007145EA"/>
    <w:rsid w:val="00715701"/>
    <w:rsid w:val="00716015"/>
    <w:rsid w:val="00716112"/>
    <w:rsid w:val="007213DE"/>
    <w:rsid w:val="00722D99"/>
    <w:rsid w:val="00725ABC"/>
    <w:rsid w:val="00732606"/>
    <w:rsid w:val="00735053"/>
    <w:rsid w:val="00737771"/>
    <w:rsid w:val="007401ED"/>
    <w:rsid w:val="0074563A"/>
    <w:rsid w:val="00745BAC"/>
    <w:rsid w:val="00752AA5"/>
    <w:rsid w:val="00753EAC"/>
    <w:rsid w:val="007572DC"/>
    <w:rsid w:val="00757C84"/>
    <w:rsid w:val="00760FC6"/>
    <w:rsid w:val="007614D2"/>
    <w:rsid w:val="007619FE"/>
    <w:rsid w:val="0076345C"/>
    <w:rsid w:val="00764082"/>
    <w:rsid w:val="007662EF"/>
    <w:rsid w:val="0076780C"/>
    <w:rsid w:val="00772B8B"/>
    <w:rsid w:val="00773DCB"/>
    <w:rsid w:val="007740E3"/>
    <w:rsid w:val="007768A7"/>
    <w:rsid w:val="00784096"/>
    <w:rsid w:val="00786C7E"/>
    <w:rsid w:val="0079229B"/>
    <w:rsid w:val="0079348E"/>
    <w:rsid w:val="00793F2C"/>
    <w:rsid w:val="00795684"/>
    <w:rsid w:val="00796107"/>
    <w:rsid w:val="007964B6"/>
    <w:rsid w:val="007C4303"/>
    <w:rsid w:val="007C57AB"/>
    <w:rsid w:val="007E0DEF"/>
    <w:rsid w:val="007E0F20"/>
    <w:rsid w:val="007E7C2C"/>
    <w:rsid w:val="007E7FC6"/>
    <w:rsid w:val="007F7718"/>
    <w:rsid w:val="00800BBE"/>
    <w:rsid w:val="008023E5"/>
    <w:rsid w:val="00803774"/>
    <w:rsid w:val="00804918"/>
    <w:rsid w:val="00805D3A"/>
    <w:rsid w:val="008113C7"/>
    <w:rsid w:val="00811B44"/>
    <w:rsid w:val="00811CC0"/>
    <w:rsid w:val="008155AD"/>
    <w:rsid w:val="00822A1B"/>
    <w:rsid w:val="008338C6"/>
    <w:rsid w:val="00834B1E"/>
    <w:rsid w:val="008371AE"/>
    <w:rsid w:val="00842267"/>
    <w:rsid w:val="00842D82"/>
    <w:rsid w:val="00843375"/>
    <w:rsid w:val="00847378"/>
    <w:rsid w:val="00850813"/>
    <w:rsid w:val="0086086C"/>
    <w:rsid w:val="00861AC4"/>
    <w:rsid w:val="00867380"/>
    <w:rsid w:val="008714B5"/>
    <w:rsid w:val="00881BE7"/>
    <w:rsid w:val="0089723C"/>
    <w:rsid w:val="008A0662"/>
    <w:rsid w:val="008A1C69"/>
    <w:rsid w:val="008A2104"/>
    <w:rsid w:val="008B6B93"/>
    <w:rsid w:val="008C3CA6"/>
    <w:rsid w:val="008C4C30"/>
    <w:rsid w:val="008C62F7"/>
    <w:rsid w:val="008D1E48"/>
    <w:rsid w:val="008D489F"/>
    <w:rsid w:val="008D51CC"/>
    <w:rsid w:val="008E2985"/>
    <w:rsid w:val="008E3C60"/>
    <w:rsid w:val="008E3C8B"/>
    <w:rsid w:val="008E41A0"/>
    <w:rsid w:val="008E5BF1"/>
    <w:rsid w:val="008F12C4"/>
    <w:rsid w:val="008F3DA0"/>
    <w:rsid w:val="008F53EE"/>
    <w:rsid w:val="008F5864"/>
    <w:rsid w:val="009023F6"/>
    <w:rsid w:val="00907C43"/>
    <w:rsid w:val="00911495"/>
    <w:rsid w:val="00911E48"/>
    <w:rsid w:val="009137BA"/>
    <w:rsid w:val="009169EB"/>
    <w:rsid w:val="0092179B"/>
    <w:rsid w:val="009222CB"/>
    <w:rsid w:val="009245D9"/>
    <w:rsid w:val="00924A63"/>
    <w:rsid w:val="00931C51"/>
    <w:rsid w:val="00932BBD"/>
    <w:rsid w:val="00936231"/>
    <w:rsid w:val="00936FC6"/>
    <w:rsid w:val="009371E2"/>
    <w:rsid w:val="009407ED"/>
    <w:rsid w:val="00940A1D"/>
    <w:rsid w:val="00940EDF"/>
    <w:rsid w:val="00941911"/>
    <w:rsid w:val="00944285"/>
    <w:rsid w:val="00944F39"/>
    <w:rsid w:val="00945486"/>
    <w:rsid w:val="009511F6"/>
    <w:rsid w:val="00951992"/>
    <w:rsid w:val="00951C3C"/>
    <w:rsid w:val="00954A5E"/>
    <w:rsid w:val="00956E82"/>
    <w:rsid w:val="009655C6"/>
    <w:rsid w:val="00973512"/>
    <w:rsid w:val="009742FB"/>
    <w:rsid w:val="00975963"/>
    <w:rsid w:val="00985F31"/>
    <w:rsid w:val="00986863"/>
    <w:rsid w:val="009869D3"/>
    <w:rsid w:val="00987BB2"/>
    <w:rsid w:val="00990E90"/>
    <w:rsid w:val="009B15B1"/>
    <w:rsid w:val="009B206B"/>
    <w:rsid w:val="009B222C"/>
    <w:rsid w:val="009B6AC7"/>
    <w:rsid w:val="009B7750"/>
    <w:rsid w:val="009C0D6E"/>
    <w:rsid w:val="009C5F5E"/>
    <w:rsid w:val="009D334A"/>
    <w:rsid w:val="009D6F80"/>
    <w:rsid w:val="009E6637"/>
    <w:rsid w:val="009F0748"/>
    <w:rsid w:val="009F3FAA"/>
    <w:rsid w:val="00A257A5"/>
    <w:rsid w:val="00A265E0"/>
    <w:rsid w:val="00A31CCC"/>
    <w:rsid w:val="00A3226C"/>
    <w:rsid w:val="00A3245A"/>
    <w:rsid w:val="00A3275F"/>
    <w:rsid w:val="00A342AC"/>
    <w:rsid w:val="00A418EC"/>
    <w:rsid w:val="00A42887"/>
    <w:rsid w:val="00A44BF5"/>
    <w:rsid w:val="00A47B22"/>
    <w:rsid w:val="00A5509D"/>
    <w:rsid w:val="00A61616"/>
    <w:rsid w:val="00A6712A"/>
    <w:rsid w:val="00A75B7E"/>
    <w:rsid w:val="00A8363A"/>
    <w:rsid w:val="00A84AE4"/>
    <w:rsid w:val="00A92611"/>
    <w:rsid w:val="00AA11C6"/>
    <w:rsid w:val="00AA4DD1"/>
    <w:rsid w:val="00AA6F13"/>
    <w:rsid w:val="00AB3D92"/>
    <w:rsid w:val="00AB6221"/>
    <w:rsid w:val="00AC24F8"/>
    <w:rsid w:val="00AC7451"/>
    <w:rsid w:val="00AD297E"/>
    <w:rsid w:val="00AE463C"/>
    <w:rsid w:val="00AE47AC"/>
    <w:rsid w:val="00AE78F6"/>
    <w:rsid w:val="00AF0638"/>
    <w:rsid w:val="00AF3152"/>
    <w:rsid w:val="00AF548D"/>
    <w:rsid w:val="00AF5A41"/>
    <w:rsid w:val="00AF6CAC"/>
    <w:rsid w:val="00B01F41"/>
    <w:rsid w:val="00B05361"/>
    <w:rsid w:val="00B05DF6"/>
    <w:rsid w:val="00B1298D"/>
    <w:rsid w:val="00B13600"/>
    <w:rsid w:val="00B13E65"/>
    <w:rsid w:val="00B17708"/>
    <w:rsid w:val="00B250D2"/>
    <w:rsid w:val="00B32DCE"/>
    <w:rsid w:val="00B37AE5"/>
    <w:rsid w:val="00B4119C"/>
    <w:rsid w:val="00B4199F"/>
    <w:rsid w:val="00B45030"/>
    <w:rsid w:val="00B45AB0"/>
    <w:rsid w:val="00B46B9D"/>
    <w:rsid w:val="00B51757"/>
    <w:rsid w:val="00B52603"/>
    <w:rsid w:val="00B5487C"/>
    <w:rsid w:val="00B5636E"/>
    <w:rsid w:val="00B56DF8"/>
    <w:rsid w:val="00B621A0"/>
    <w:rsid w:val="00B622F7"/>
    <w:rsid w:val="00B6241A"/>
    <w:rsid w:val="00B63B94"/>
    <w:rsid w:val="00B752E0"/>
    <w:rsid w:val="00B800AF"/>
    <w:rsid w:val="00B80CBC"/>
    <w:rsid w:val="00B82391"/>
    <w:rsid w:val="00B82D52"/>
    <w:rsid w:val="00B86F21"/>
    <w:rsid w:val="00B92139"/>
    <w:rsid w:val="00B92DF0"/>
    <w:rsid w:val="00BA79AD"/>
    <w:rsid w:val="00BB19A9"/>
    <w:rsid w:val="00BB41D7"/>
    <w:rsid w:val="00BC087F"/>
    <w:rsid w:val="00BC3429"/>
    <w:rsid w:val="00BD544B"/>
    <w:rsid w:val="00BE08C9"/>
    <w:rsid w:val="00BF342A"/>
    <w:rsid w:val="00BF6757"/>
    <w:rsid w:val="00C00D73"/>
    <w:rsid w:val="00C0352D"/>
    <w:rsid w:val="00C10C53"/>
    <w:rsid w:val="00C12EDA"/>
    <w:rsid w:val="00C152F6"/>
    <w:rsid w:val="00C16A57"/>
    <w:rsid w:val="00C209BD"/>
    <w:rsid w:val="00C22109"/>
    <w:rsid w:val="00C23EC9"/>
    <w:rsid w:val="00C31B8D"/>
    <w:rsid w:val="00C343C9"/>
    <w:rsid w:val="00C367C7"/>
    <w:rsid w:val="00C40146"/>
    <w:rsid w:val="00C43A75"/>
    <w:rsid w:val="00C44FB4"/>
    <w:rsid w:val="00C45B9E"/>
    <w:rsid w:val="00C50D1A"/>
    <w:rsid w:val="00C521A6"/>
    <w:rsid w:val="00C526CC"/>
    <w:rsid w:val="00C5347A"/>
    <w:rsid w:val="00C62F47"/>
    <w:rsid w:val="00C670C6"/>
    <w:rsid w:val="00C71673"/>
    <w:rsid w:val="00C7179E"/>
    <w:rsid w:val="00C72BBA"/>
    <w:rsid w:val="00C72C17"/>
    <w:rsid w:val="00C737AC"/>
    <w:rsid w:val="00C743AF"/>
    <w:rsid w:val="00C75BC5"/>
    <w:rsid w:val="00C77D68"/>
    <w:rsid w:val="00C80885"/>
    <w:rsid w:val="00C84DA8"/>
    <w:rsid w:val="00C86FBC"/>
    <w:rsid w:val="00C90531"/>
    <w:rsid w:val="00C9096D"/>
    <w:rsid w:val="00C92A18"/>
    <w:rsid w:val="00C93D38"/>
    <w:rsid w:val="00CA1796"/>
    <w:rsid w:val="00CA2A2A"/>
    <w:rsid w:val="00CA7A21"/>
    <w:rsid w:val="00CA7FF3"/>
    <w:rsid w:val="00CC21BF"/>
    <w:rsid w:val="00CC5E15"/>
    <w:rsid w:val="00CD62A8"/>
    <w:rsid w:val="00CE117F"/>
    <w:rsid w:val="00CE766C"/>
    <w:rsid w:val="00CE7C8D"/>
    <w:rsid w:val="00CF1142"/>
    <w:rsid w:val="00CF6210"/>
    <w:rsid w:val="00D00CE7"/>
    <w:rsid w:val="00D02648"/>
    <w:rsid w:val="00D048AB"/>
    <w:rsid w:val="00D05C66"/>
    <w:rsid w:val="00D117C6"/>
    <w:rsid w:val="00D123F1"/>
    <w:rsid w:val="00D134D9"/>
    <w:rsid w:val="00D141FA"/>
    <w:rsid w:val="00D14766"/>
    <w:rsid w:val="00D1649A"/>
    <w:rsid w:val="00D16EAA"/>
    <w:rsid w:val="00D21F0C"/>
    <w:rsid w:val="00D24EB7"/>
    <w:rsid w:val="00D32315"/>
    <w:rsid w:val="00D33FF5"/>
    <w:rsid w:val="00D42F35"/>
    <w:rsid w:val="00D4519B"/>
    <w:rsid w:val="00D530F4"/>
    <w:rsid w:val="00D56FA7"/>
    <w:rsid w:val="00D6046D"/>
    <w:rsid w:val="00D639B8"/>
    <w:rsid w:val="00D67DD1"/>
    <w:rsid w:val="00D70109"/>
    <w:rsid w:val="00D84ED8"/>
    <w:rsid w:val="00D87224"/>
    <w:rsid w:val="00DA71A9"/>
    <w:rsid w:val="00DB3275"/>
    <w:rsid w:val="00DC1B38"/>
    <w:rsid w:val="00DC74E7"/>
    <w:rsid w:val="00DC7F1E"/>
    <w:rsid w:val="00DD06C9"/>
    <w:rsid w:val="00DD1BA1"/>
    <w:rsid w:val="00DD370D"/>
    <w:rsid w:val="00DE0850"/>
    <w:rsid w:val="00DE1CB9"/>
    <w:rsid w:val="00DE6074"/>
    <w:rsid w:val="00DF0928"/>
    <w:rsid w:val="00DF25E6"/>
    <w:rsid w:val="00DF2E52"/>
    <w:rsid w:val="00DF5999"/>
    <w:rsid w:val="00E1315B"/>
    <w:rsid w:val="00E169B3"/>
    <w:rsid w:val="00E16C56"/>
    <w:rsid w:val="00E17C88"/>
    <w:rsid w:val="00E31961"/>
    <w:rsid w:val="00E32BC3"/>
    <w:rsid w:val="00E40C16"/>
    <w:rsid w:val="00E438EF"/>
    <w:rsid w:val="00E523B1"/>
    <w:rsid w:val="00E54DFC"/>
    <w:rsid w:val="00E672C3"/>
    <w:rsid w:val="00E71839"/>
    <w:rsid w:val="00E72465"/>
    <w:rsid w:val="00E83306"/>
    <w:rsid w:val="00E83A82"/>
    <w:rsid w:val="00E8684C"/>
    <w:rsid w:val="00E86FD2"/>
    <w:rsid w:val="00E87069"/>
    <w:rsid w:val="00E90A87"/>
    <w:rsid w:val="00E938DE"/>
    <w:rsid w:val="00E9528C"/>
    <w:rsid w:val="00E9724D"/>
    <w:rsid w:val="00EA2CC0"/>
    <w:rsid w:val="00EA37A8"/>
    <w:rsid w:val="00EA403D"/>
    <w:rsid w:val="00EA786B"/>
    <w:rsid w:val="00EB1E29"/>
    <w:rsid w:val="00EB38AC"/>
    <w:rsid w:val="00EB4BFE"/>
    <w:rsid w:val="00ED42E4"/>
    <w:rsid w:val="00EF21E0"/>
    <w:rsid w:val="00EF2F31"/>
    <w:rsid w:val="00EF63E0"/>
    <w:rsid w:val="00EF6AF3"/>
    <w:rsid w:val="00F00C65"/>
    <w:rsid w:val="00F02148"/>
    <w:rsid w:val="00F0420A"/>
    <w:rsid w:val="00F04B8A"/>
    <w:rsid w:val="00F05BD5"/>
    <w:rsid w:val="00F12A74"/>
    <w:rsid w:val="00F17300"/>
    <w:rsid w:val="00F17F81"/>
    <w:rsid w:val="00F2002F"/>
    <w:rsid w:val="00F25EBD"/>
    <w:rsid w:val="00F33B2D"/>
    <w:rsid w:val="00F516E4"/>
    <w:rsid w:val="00F556FB"/>
    <w:rsid w:val="00F56218"/>
    <w:rsid w:val="00F626AE"/>
    <w:rsid w:val="00F64D4E"/>
    <w:rsid w:val="00F77810"/>
    <w:rsid w:val="00F93293"/>
    <w:rsid w:val="00F939C5"/>
    <w:rsid w:val="00F96191"/>
    <w:rsid w:val="00FB112E"/>
    <w:rsid w:val="00FB628A"/>
    <w:rsid w:val="00FB71FF"/>
    <w:rsid w:val="00FC5C13"/>
    <w:rsid w:val="00FD75D7"/>
    <w:rsid w:val="00FE1C02"/>
    <w:rsid w:val="00FE2A6A"/>
    <w:rsid w:val="00FE7846"/>
    <w:rsid w:val="00FF00D7"/>
    <w:rsid w:val="00FF0D20"/>
    <w:rsid w:val="00FF24B2"/>
    <w:rsid w:val="00FF2758"/>
    <w:rsid w:val="00FF4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20E610-FB6B-4CE9-A966-3ABEE801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0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109"/>
    <w:pPr>
      <w:spacing w:before="100" w:beforeAutospacing="1" w:after="100" w:afterAutospacing="1"/>
    </w:pPr>
    <w:rPr>
      <w:sz w:val="24"/>
      <w:szCs w:val="24"/>
      <w:lang w:val="vi-VN" w:eastAsia="vi-VN"/>
    </w:rPr>
  </w:style>
  <w:style w:type="character" w:styleId="Hyperlink">
    <w:name w:val="Hyperlink"/>
    <w:basedOn w:val="DefaultParagraphFont"/>
    <w:unhideWhenUsed/>
    <w:rsid w:val="00D70109"/>
    <w:rPr>
      <w:color w:val="0000FF"/>
      <w:u w:val="single"/>
    </w:rPr>
  </w:style>
  <w:style w:type="paragraph" w:styleId="BodyText">
    <w:name w:val="Body Text"/>
    <w:basedOn w:val="Normal"/>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paragraph" w:styleId="BalloonText">
    <w:name w:val="Balloon Text"/>
    <w:basedOn w:val="Normal"/>
    <w:link w:val="BalloonTextChar"/>
    <w:semiHidden/>
    <w:unhideWhenUsed/>
    <w:rsid w:val="005B7026"/>
    <w:rPr>
      <w:rFonts w:ascii="Segoe UI" w:hAnsi="Segoe UI" w:cs="Segoe UI"/>
      <w:sz w:val="18"/>
      <w:szCs w:val="18"/>
    </w:rPr>
  </w:style>
  <w:style w:type="character" w:customStyle="1" w:styleId="BalloonTextChar">
    <w:name w:val="Balloon Text Char"/>
    <w:basedOn w:val="DefaultParagraphFont"/>
    <w:link w:val="BalloonText"/>
    <w:semiHidden/>
    <w:rsid w:val="005B7026"/>
    <w:rPr>
      <w:rFonts w:ascii="Segoe UI" w:hAnsi="Segoe UI" w:cs="Segoe UI"/>
      <w:sz w:val="18"/>
      <w:szCs w:val="18"/>
    </w:rPr>
  </w:style>
  <w:style w:type="paragraph" w:styleId="Header">
    <w:name w:val="header"/>
    <w:basedOn w:val="Normal"/>
    <w:link w:val="HeaderChar"/>
    <w:uiPriority w:val="99"/>
    <w:unhideWhenUsed/>
    <w:rsid w:val="00B17708"/>
    <w:pPr>
      <w:tabs>
        <w:tab w:val="center" w:pos="4680"/>
        <w:tab w:val="right" w:pos="9360"/>
      </w:tabs>
    </w:pPr>
  </w:style>
  <w:style w:type="character" w:customStyle="1" w:styleId="HeaderChar">
    <w:name w:val="Header Char"/>
    <w:basedOn w:val="DefaultParagraphFont"/>
    <w:link w:val="Header"/>
    <w:uiPriority w:val="99"/>
    <w:rsid w:val="00B177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8C6C-06AE-4C31-8671-F578A50D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TỈNH QUẢNG BÌNH       CỘNG HOÀ XÃ HỘI CHỦ NGHĨA VIỆT NAM</vt:lpstr>
    </vt:vector>
  </TitlesOfParts>
  <Company>HOME</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       CỘNG HOÀ XÃ HỘI CHỦ NGHĨA VIỆT NAM</dc:title>
  <dc:creator>User</dc:creator>
  <cp:lastModifiedBy>Admin</cp:lastModifiedBy>
  <cp:revision>44</cp:revision>
  <cp:lastPrinted>2020-06-03T03:20:00Z</cp:lastPrinted>
  <dcterms:created xsi:type="dcterms:W3CDTF">2020-05-28T08:18:00Z</dcterms:created>
  <dcterms:modified xsi:type="dcterms:W3CDTF">2020-06-03T10:06:00Z</dcterms:modified>
</cp:coreProperties>
</file>