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123"/>
        <w:gridCol w:w="6278"/>
      </w:tblGrid>
      <w:tr w:rsidR="002311D9" w:rsidRPr="00904855" w14:paraId="6448950E" w14:textId="77777777" w:rsidTr="006D703B">
        <w:trPr>
          <w:jc w:val="center"/>
        </w:trPr>
        <w:tc>
          <w:tcPr>
            <w:tcW w:w="3085" w:type="dxa"/>
          </w:tcPr>
          <w:p w14:paraId="66E3E71D" w14:textId="4265BD42" w:rsidR="00355339" w:rsidRPr="00032436" w:rsidRDefault="00355339" w:rsidP="00632941">
            <w:pPr>
              <w:jc w:val="center"/>
              <w:rPr>
                <w:b/>
                <w:noProof/>
                <w:spacing w:val="4"/>
                <w:sz w:val="26"/>
                <w:szCs w:val="26"/>
                <w:lang w:val="pt-BR"/>
              </w:rPr>
            </w:pPr>
            <w:r w:rsidRPr="002311D9">
              <w:rPr>
                <w:spacing w:val="4"/>
                <w:sz w:val="27"/>
                <w:szCs w:val="27"/>
                <w:lang w:val="pt-BR"/>
              </w:rPr>
              <w:br w:type="page"/>
            </w:r>
            <w:r w:rsidR="00921FB7" w:rsidRPr="00032436">
              <w:rPr>
                <w:b/>
                <w:noProof/>
                <w:spacing w:val="4"/>
                <w:sz w:val="26"/>
                <w:szCs w:val="26"/>
                <w:lang w:val="pt-BR"/>
              </w:rPr>
              <w:t>ỦY</w:t>
            </w:r>
            <w:r w:rsidRPr="00032436">
              <w:rPr>
                <w:b/>
                <w:noProof/>
                <w:spacing w:val="4"/>
                <w:sz w:val="26"/>
                <w:szCs w:val="26"/>
                <w:lang w:val="pt-BR"/>
              </w:rPr>
              <w:t xml:space="preserve"> BAN NHÂN DÂN</w:t>
            </w:r>
          </w:p>
          <w:p w14:paraId="50263D5E" w14:textId="77777777" w:rsidR="00355339" w:rsidRPr="002311D9" w:rsidRDefault="00355339" w:rsidP="00632941">
            <w:pPr>
              <w:jc w:val="center"/>
              <w:rPr>
                <w:b/>
                <w:noProof/>
                <w:spacing w:val="4"/>
                <w:sz w:val="27"/>
                <w:szCs w:val="27"/>
                <w:lang w:val="pt-BR"/>
              </w:rPr>
            </w:pPr>
            <w:r w:rsidRPr="00032436">
              <w:rPr>
                <w:b/>
                <w:noProof/>
                <w:spacing w:val="4"/>
                <w:sz w:val="26"/>
                <w:szCs w:val="26"/>
                <w:lang w:val="pt-BR"/>
              </w:rPr>
              <w:t>TỈNH QUẢNG BÌNH</w:t>
            </w:r>
          </w:p>
        </w:tc>
        <w:tc>
          <w:tcPr>
            <w:tcW w:w="6203" w:type="dxa"/>
          </w:tcPr>
          <w:p w14:paraId="660D2653" w14:textId="77777777" w:rsidR="00355339" w:rsidRPr="00032436" w:rsidRDefault="00355339" w:rsidP="00632941">
            <w:pPr>
              <w:jc w:val="center"/>
              <w:rPr>
                <w:b/>
                <w:spacing w:val="4"/>
                <w:sz w:val="26"/>
                <w:szCs w:val="26"/>
                <w:lang w:val="pt-BR"/>
              </w:rPr>
            </w:pPr>
            <w:r w:rsidRPr="00032436">
              <w:rPr>
                <w:b/>
                <w:spacing w:val="4"/>
                <w:sz w:val="26"/>
                <w:szCs w:val="26"/>
                <w:lang w:val="pt-BR"/>
              </w:rPr>
              <w:t>CỘNG HÒA XÃ HỘI CHỦ NGHĨA VIỆT NAM</w:t>
            </w:r>
          </w:p>
          <w:p w14:paraId="21841C90" w14:textId="77777777" w:rsidR="00355339" w:rsidRPr="00032436" w:rsidRDefault="00355339" w:rsidP="00632941">
            <w:pPr>
              <w:jc w:val="center"/>
              <w:rPr>
                <w:b/>
                <w:spacing w:val="4"/>
                <w:szCs w:val="28"/>
                <w:lang w:val="pt-BR"/>
              </w:rPr>
            </w:pPr>
            <w:r w:rsidRPr="00032436">
              <w:rPr>
                <w:b/>
                <w:spacing w:val="4"/>
                <w:szCs w:val="28"/>
                <w:lang w:val="pt-BR"/>
              </w:rPr>
              <w:t>Độc lập - Tự do - Hạnh phúc</w:t>
            </w:r>
          </w:p>
        </w:tc>
      </w:tr>
      <w:tr w:rsidR="002311D9" w:rsidRPr="007B0A80" w14:paraId="05E66894" w14:textId="77777777" w:rsidTr="006D703B">
        <w:trPr>
          <w:jc w:val="center"/>
        </w:trPr>
        <w:tc>
          <w:tcPr>
            <w:tcW w:w="3085" w:type="dxa"/>
          </w:tcPr>
          <w:p w14:paraId="4F8B24A2" w14:textId="3551F81D" w:rsidR="00355339" w:rsidRPr="00032436" w:rsidRDefault="00D161F0" w:rsidP="00032436">
            <w:pPr>
              <w:spacing w:before="120"/>
              <w:jc w:val="center"/>
              <w:rPr>
                <w:spacing w:val="4"/>
                <w:sz w:val="26"/>
                <w:szCs w:val="26"/>
                <w:lang w:val="pt-BR"/>
              </w:rPr>
            </w:pPr>
            <w:r w:rsidRPr="00032436">
              <w:rPr>
                <w:noProof/>
                <w:sz w:val="26"/>
                <w:szCs w:val="26"/>
              </w:rPr>
              <mc:AlternateContent>
                <mc:Choice Requires="wps">
                  <w:drawing>
                    <wp:anchor distT="4294967292" distB="4294967292" distL="114300" distR="114300" simplePos="0" relativeHeight="2" behindDoc="0" locked="0" layoutInCell="1" allowOverlap="1" wp14:anchorId="3044B77F" wp14:editId="09A60F13">
                      <wp:simplePos x="0" y="0"/>
                      <wp:positionH relativeFrom="margin">
                        <wp:posOffset>459740</wp:posOffset>
                      </wp:positionH>
                      <wp:positionV relativeFrom="paragraph">
                        <wp:posOffset>20955</wp:posOffset>
                      </wp:positionV>
                      <wp:extent cx="900000" cy="0"/>
                      <wp:effectExtent l="0" t="0" r="1460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DD15"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6.2pt,1.65pt" to="10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">
                      <w10:wrap anchorx="margin"/>
                    </v:line>
                  </w:pict>
                </mc:Fallback>
              </mc:AlternateContent>
            </w:r>
            <w:r w:rsidR="00355339" w:rsidRPr="00032436">
              <w:rPr>
                <w:bCs/>
                <w:iCs/>
                <w:spacing w:val="4"/>
                <w:sz w:val="26"/>
                <w:szCs w:val="26"/>
              </w:rPr>
              <w:t>Số:</w:t>
            </w:r>
            <w:r w:rsidR="00CE53D4" w:rsidRPr="00032436">
              <w:rPr>
                <w:bCs/>
                <w:iCs/>
                <w:spacing w:val="4"/>
                <w:sz w:val="26"/>
                <w:szCs w:val="26"/>
              </w:rPr>
              <w:t xml:space="preserve"> </w:t>
            </w:r>
            <w:r w:rsidR="00032436">
              <w:rPr>
                <w:bCs/>
                <w:iCs/>
                <w:spacing w:val="4"/>
                <w:sz w:val="26"/>
                <w:szCs w:val="26"/>
              </w:rPr>
              <w:t xml:space="preserve">        </w:t>
            </w:r>
            <w:r w:rsidR="00355339" w:rsidRPr="00032436">
              <w:rPr>
                <w:bCs/>
                <w:iCs/>
                <w:spacing w:val="4"/>
                <w:sz w:val="26"/>
                <w:szCs w:val="26"/>
              </w:rPr>
              <w:t>/</w:t>
            </w:r>
            <w:r w:rsidR="00CE53D4" w:rsidRPr="00032436">
              <w:rPr>
                <w:bCs/>
                <w:iCs/>
                <w:spacing w:val="4"/>
                <w:sz w:val="26"/>
                <w:szCs w:val="26"/>
                <w:lang w:val="pt-BR"/>
              </w:rPr>
              <w:t>TTr-UBND</w:t>
            </w:r>
          </w:p>
        </w:tc>
        <w:tc>
          <w:tcPr>
            <w:tcW w:w="6203" w:type="dxa"/>
          </w:tcPr>
          <w:p w14:paraId="28093FEE" w14:textId="3A8F7ED6" w:rsidR="00355339" w:rsidRPr="007B6860" w:rsidRDefault="00D161F0" w:rsidP="00032436">
            <w:pPr>
              <w:spacing w:before="120"/>
              <w:jc w:val="center"/>
              <w:rPr>
                <w:b/>
                <w:spacing w:val="4"/>
                <w:szCs w:val="28"/>
                <w:lang w:val="pt-BR"/>
              </w:rPr>
            </w:pPr>
            <w:r w:rsidRPr="007B6860">
              <w:rPr>
                <w:noProof/>
                <w:szCs w:val="28"/>
              </w:rPr>
              <mc:AlternateContent>
                <mc:Choice Requires="wps">
                  <w:drawing>
                    <wp:anchor distT="4294967292" distB="4294967292" distL="114300" distR="114300" simplePos="0" relativeHeight="3" behindDoc="0" locked="0" layoutInCell="1" allowOverlap="1" wp14:anchorId="57730E76" wp14:editId="1145DB78">
                      <wp:simplePos x="0" y="0"/>
                      <wp:positionH relativeFrom="margin">
                        <wp:posOffset>810895</wp:posOffset>
                      </wp:positionH>
                      <wp:positionV relativeFrom="paragraph">
                        <wp:posOffset>19050</wp:posOffset>
                      </wp:positionV>
                      <wp:extent cx="2160000"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EA3C4"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3.85pt,1.5pt" to="23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Sw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">
                      <w10:wrap anchorx="margin"/>
                    </v:line>
                  </w:pict>
                </mc:Fallback>
              </mc:AlternateContent>
            </w:r>
            <w:r w:rsidR="00355339" w:rsidRPr="007B6860">
              <w:rPr>
                <w:i/>
                <w:spacing w:val="4"/>
                <w:szCs w:val="28"/>
                <w:lang w:val="pt-BR"/>
              </w:rPr>
              <w:t xml:space="preserve">Quảng Bình, ngày </w:t>
            </w:r>
            <w:r w:rsidR="00032436" w:rsidRPr="007B6860">
              <w:rPr>
                <w:i/>
                <w:spacing w:val="4"/>
                <w:szCs w:val="28"/>
                <w:lang w:val="pt-BR"/>
              </w:rPr>
              <w:t xml:space="preserve">     </w:t>
            </w:r>
            <w:r w:rsidR="00355339" w:rsidRPr="007B6860">
              <w:rPr>
                <w:i/>
                <w:spacing w:val="4"/>
                <w:szCs w:val="28"/>
                <w:lang w:val="pt-BR"/>
              </w:rPr>
              <w:t xml:space="preserve"> tháng </w:t>
            </w:r>
            <w:r w:rsidR="00032436" w:rsidRPr="007B6860">
              <w:rPr>
                <w:i/>
                <w:spacing w:val="4"/>
                <w:szCs w:val="28"/>
                <w:lang w:val="pt-BR"/>
              </w:rPr>
              <w:t>9</w:t>
            </w:r>
            <w:r w:rsidR="00355339" w:rsidRPr="007B6860">
              <w:rPr>
                <w:i/>
                <w:spacing w:val="4"/>
                <w:szCs w:val="28"/>
                <w:lang w:val="pt-BR"/>
              </w:rPr>
              <w:t xml:space="preserve"> năm 201</w:t>
            </w:r>
            <w:r w:rsidR="00032436" w:rsidRPr="007B6860">
              <w:rPr>
                <w:i/>
                <w:spacing w:val="4"/>
                <w:szCs w:val="28"/>
                <w:lang w:val="pt-BR"/>
              </w:rPr>
              <w:t>9</w:t>
            </w:r>
          </w:p>
        </w:tc>
      </w:tr>
      <w:tr w:rsidR="002311D9" w:rsidRPr="002311D9" w14:paraId="6CE9BBB3" w14:textId="77777777" w:rsidTr="006D703B">
        <w:trPr>
          <w:jc w:val="center"/>
        </w:trPr>
        <w:tc>
          <w:tcPr>
            <w:tcW w:w="3085" w:type="dxa"/>
          </w:tcPr>
          <w:p w14:paraId="7346A471" w14:textId="77777777" w:rsidR="00355339" w:rsidRPr="002311D9" w:rsidRDefault="00D161F0" w:rsidP="00B32FEF">
            <w:pPr>
              <w:jc w:val="center"/>
              <w:rPr>
                <w:spacing w:val="4"/>
                <w:sz w:val="27"/>
                <w:szCs w:val="27"/>
              </w:rPr>
            </w:pPr>
            <w:r>
              <w:rPr>
                <w:noProof/>
              </w:rPr>
              <mc:AlternateContent>
                <mc:Choice Requires="wps">
                  <w:drawing>
                    <wp:inline distT="0" distB="0" distL="0" distR="0" wp14:anchorId="0A7A3329" wp14:editId="0D097075">
                      <wp:extent cx="1080135" cy="288290"/>
                      <wp:effectExtent l="9525" t="9525" r="5715" b="698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C19E0" w14:textId="77777777" w:rsidR="00B00B4B" w:rsidRDefault="00B00B4B" w:rsidP="00355339">
                                  <w:r w:rsidRPr="005B41C2">
                                    <w:rPr>
                                      <w:b/>
                                      <w:szCs w:val="28"/>
                                    </w:rPr>
                                    <w:t>DỰ THẢO</w:t>
                                  </w:r>
                                  <w:r w:rsidRPr="005B41C2">
                                    <w:rPr>
                                      <w:b/>
                                      <w:szCs w:val="28"/>
                                    </w:rPr>
                                    <w:tab/>
                                  </w:r>
                                </w:p>
                              </w:txbxContent>
                            </wps:txbx>
                            <wps:bodyPr rot="0" vert="horz" wrap="square" lIns="91440" tIns="45720" rIns="91440" bIns="45720" anchor="t" anchorCtr="0" upright="1">
                              <a:noAutofit/>
                            </wps:bodyPr>
                          </wps:wsp>
                        </a:graphicData>
                      </a:graphic>
                    </wp:inline>
                  </w:drawing>
                </mc:Choice>
                <mc:Fallback>
                  <w:pict>
                    <v:rect w14:anchorId="0A7A3329" id="Rectangle 12"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oifwIAAAc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FzjCiJ/AgAABwUA&#10;AA4AAAAAAAAAAAAAAAAALgIAAGRycy9lMm9Eb2MueG1sUEsBAi0AFAAGAAgAAAAhAADJ+onaAAAA&#10;BAEAAA8AAAAAAAAAAAAAAAAA2QQAAGRycy9kb3ducmV2LnhtbFBLBQYAAAAABAAEAPMAAADgBQAA&#10;AAA=&#10;" filled="f">
                      <v:textbox>
                        <w:txbxContent>
                          <w:p w14:paraId="6B3C19E0" w14:textId="77777777" w:rsidR="00B00B4B" w:rsidRDefault="00B00B4B" w:rsidP="00355339">
                            <w:r w:rsidRPr="005B41C2">
                              <w:rPr>
                                <w:b/>
                                <w:szCs w:val="28"/>
                              </w:rPr>
                              <w:t>DỰ THẢO</w:t>
                            </w:r>
                            <w:r w:rsidRPr="005B41C2">
                              <w:rPr>
                                <w:b/>
                                <w:szCs w:val="28"/>
                              </w:rPr>
                              <w:tab/>
                            </w:r>
                          </w:p>
                        </w:txbxContent>
                      </v:textbox>
                      <w10:anchorlock/>
                    </v:rect>
                  </w:pict>
                </mc:Fallback>
              </mc:AlternateContent>
            </w:r>
          </w:p>
        </w:tc>
        <w:tc>
          <w:tcPr>
            <w:tcW w:w="6203" w:type="dxa"/>
          </w:tcPr>
          <w:p w14:paraId="781F8978" w14:textId="4FD86B48" w:rsidR="00355339" w:rsidRPr="002311D9" w:rsidRDefault="00355339" w:rsidP="00B32FEF">
            <w:pPr>
              <w:jc w:val="center"/>
              <w:rPr>
                <w:b/>
                <w:spacing w:val="4"/>
                <w:sz w:val="27"/>
                <w:szCs w:val="27"/>
              </w:rPr>
            </w:pPr>
          </w:p>
        </w:tc>
      </w:tr>
    </w:tbl>
    <w:p w14:paraId="5DD2ACA6" w14:textId="11EE7931" w:rsidR="00FE0364" w:rsidRPr="00620062" w:rsidRDefault="00FE0364" w:rsidP="00CD6AAC">
      <w:pPr>
        <w:spacing w:before="360"/>
        <w:jc w:val="center"/>
        <w:rPr>
          <w:b/>
          <w:spacing w:val="4"/>
          <w:sz w:val="27"/>
          <w:szCs w:val="27"/>
        </w:rPr>
      </w:pPr>
      <w:r w:rsidRPr="00620062">
        <w:rPr>
          <w:b/>
          <w:spacing w:val="4"/>
          <w:sz w:val="27"/>
          <w:szCs w:val="27"/>
        </w:rPr>
        <w:t>TỜ TRÌNH</w:t>
      </w:r>
    </w:p>
    <w:p w14:paraId="00F6C1C1" w14:textId="77777777" w:rsidR="00472F05" w:rsidRDefault="00FE0364" w:rsidP="00472F05">
      <w:pPr>
        <w:jc w:val="center"/>
        <w:rPr>
          <w:b/>
          <w:spacing w:val="4"/>
          <w:sz w:val="27"/>
          <w:szCs w:val="27"/>
        </w:rPr>
      </w:pPr>
      <w:r w:rsidRPr="00620062">
        <w:rPr>
          <w:b/>
          <w:spacing w:val="4"/>
          <w:sz w:val="27"/>
          <w:szCs w:val="27"/>
        </w:rPr>
        <w:t xml:space="preserve">V/v </w:t>
      </w:r>
      <w:r w:rsidR="00B95359" w:rsidRPr="00620062">
        <w:rPr>
          <w:b/>
          <w:spacing w:val="4"/>
          <w:sz w:val="27"/>
          <w:szCs w:val="27"/>
        </w:rPr>
        <w:t>thống nhất</w:t>
      </w:r>
      <w:r w:rsidRPr="00620062">
        <w:rPr>
          <w:b/>
          <w:spacing w:val="4"/>
          <w:sz w:val="27"/>
          <w:szCs w:val="27"/>
        </w:rPr>
        <w:t xml:space="preserve"> </w:t>
      </w:r>
      <w:r w:rsidR="00032436" w:rsidRPr="00620062">
        <w:rPr>
          <w:b/>
          <w:spacing w:val="4"/>
          <w:sz w:val="27"/>
          <w:szCs w:val="27"/>
        </w:rPr>
        <w:t xml:space="preserve">dự kiến </w:t>
      </w:r>
      <w:r w:rsidR="00056A79" w:rsidRPr="00620062">
        <w:rPr>
          <w:b/>
          <w:spacing w:val="4"/>
          <w:sz w:val="27"/>
          <w:szCs w:val="27"/>
        </w:rPr>
        <w:t>Kế hoạch</w:t>
      </w:r>
      <w:r w:rsidR="00177617" w:rsidRPr="00620062">
        <w:rPr>
          <w:b/>
          <w:spacing w:val="4"/>
          <w:sz w:val="27"/>
          <w:szCs w:val="27"/>
        </w:rPr>
        <w:t xml:space="preserve"> </w:t>
      </w:r>
      <w:r w:rsidR="00056A79" w:rsidRPr="00620062">
        <w:rPr>
          <w:b/>
          <w:spacing w:val="4"/>
          <w:sz w:val="27"/>
          <w:szCs w:val="27"/>
        </w:rPr>
        <w:t>Đ</w:t>
      </w:r>
      <w:r w:rsidRPr="00620062">
        <w:rPr>
          <w:b/>
          <w:spacing w:val="4"/>
          <w:sz w:val="27"/>
          <w:szCs w:val="27"/>
        </w:rPr>
        <w:t>ầu tư công năm 20</w:t>
      </w:r>
      <w:r w:rsidR="00032436" w:rsidRPr="00620062">
        <w:rPr>
          <w:b/>
          <w:spacing w:val="4"/>
          <w:sz w:val="27"/>
          <w:szCs w:val="27"/>
        </w:rPr>
        <w:t>20</w:t>
      </w:r>
      <w:r w:rsidR="00472F05">
        <w:rPr>
          <w:b/>
          <w:spacing w:val="4"/>
          <w:sz w:val="27"/>
          <w:szCs w:val="27"/>
        </w:rPr>
        <w:t xml:space="preserve"> </w:t>
      </w:r>
      <w:r w:rsidR="00646E11" w:rsidRPr="00620062">
        <w:rPr>
          <w:b/>
          <w:spacing w:val="4"/>
          <w:sz w:val="27"/>
          <w:szCs w:val="27"/>
        </w:rPr>
        <w:t>n</w:t>
      </w:r>
      <w:r w:rsidR="00032436" w:rsidRPr="00620062">
        <w:rPr>
          <w:b/>
          <w:spacing w:val="4"/>
          <w:sz w:val="27"/>
          <w:szCs w:val="27"/>
        </w:rPr>
        <w:t>guồn</w:t>
      </w:r>
      <w:r w:rsidR="00B95359" w:rsidRPr="00620062">
        <w:rPr>
          <w:b/>
          <w:spacing w:val="4"/>
          <w:sz w:val="27"/>
          <w:szCs w:val="27"/>
        </w:rPr>
        <w:t xml:space="preserve"> </w:t>
      </w:r>
    </w:p>
    <w:p w14:paraId="1B855B8F" w14:textId="1573AD4E" w:rsidR="00FE0364" w:rsidRPr="00620062" w:rsidRDefault="00032436" w:rsidP="00472F05">
      <w:pPr>
        <w:jc w:val="center"/>
        <w:rPr>
          <w:b/>
          <w:spacing w:val="4"/>
          <w:sz w:val="27"/>
          <w:szCs w:val="27"/>
        </w:rPr>
      </w:pPr>
      <w:r w:rsidRPr="00620062">
        <w:rPr>
          <w:b/>
          <w:spacing w:val="4"/>
          <w:sz w:val="27"/>
          <w:szCs w:val="27"/>
        </w:rPr>
        <w:t>ngân sách Trung ương hỗ trợ</w:t>
      </w:r>
      <w:r w:rsidR="00FE0364" w:rsidRPr="00620062">
        <w:rPr>
          <w:b/>
          <w:spacing w:val="4"/>
          <w:sz w:val="27"/>
          <w:szCs w:val="27"/>
        </w:rPr>
        <w:t xml:space="preserve"> </w:t>
      </w:r>
      <w:r w:rsidR="00D85D50" w:rsidRPr="00620062">
        <w:rPr>
          <w:b/>
          <w:spacing w:val="4"/>
          <w:sz w:val="27"/>
          <w:szCs w:val="27"/>
        </w:rPr>
        <w:t>(</w:t>
      </w:r>
      <w:r w:rsidR="00DA5E48" w:rsidRPr="00620062">
        <w:rPr>
          <w:b/>
          <w:spacing w:val="4"/>
          <w:sz w:val="27"/>
          <w:szCs w:val="27"/>
        </w:rPr>
        <w:t>l</w:t>
      </w:r>
      <w:r w:rsidRPr="00620062">
        <w:rPr>
          <w:b/>
          <w:spacing w:val="4"/>
          <w:sz w:val="27"/>
          <w:szCs w:val="27"/>
        </w:rPr>
        <w:t>ần thứ nhất</w:t>
      </w:r>
      <w:r w:rsidR="00D85D50" w:rsidRPr="00620062">
        <w:rPr>
          <w:b/>
          <w:spacing w:val="4"/>
          <w:sz w:val="27"/>
          <w:szCs w:val="27"/>
        </w:rPr>
        <w:t>)</w:t>
      </w:r>
    </w:p>
    <w:p w14:paraId="66164E65" w14:textId="0A19833D" w:rsidR="00FE0364" w:rsidRPr="00620062" w:rsidRDefault="00032436" w:rsidP="00032436">
      <w:pPr>
        <w:spacing w:before="480" w:after="360"/>
        <w:jc w:val="center"/>
        <w:rPr>
          <w:spacing w:val="4"/>
          <w:sz w:val="27"/>
          <w:szCs w:val="27"/>
        </w:rPr>
      </w:pPr>
      <w:r w:rsidRPr="00620062">
        <w:rPr>
          <w:noProof/>
          <w:sz w:val="27"/>
          <w:szCs w:val="27"/>
        </w:rPr>
        <mc:AlternateContent>
          <mc:Choice Requires="wps">
            <w:drawing>
              <wp:anchor distT="4294967292" distB="4294967292" distL="114300" distR="114300" simplePos="0" relativeHeight="251659264" behindDoc="0" locked="0" layoutInCell="1" allowOverlap="1" wp14:anchorId="2CC970AD" wp14:editId="084026E4">
                <wp:simplePos x="0" y="0"/>
                <wp:positionH relativeFrom="margin">
                  <wp:posOffset>2169795</wp:posOffset>
                </wp:positionH>
                <wp:positionV relativeFrom="paragraph">
                  <wp:posOffset>78105</wp:posOffset>
                </wp:positionV>
                <wp:extent cx="1440000" cy="0"/>
                <wp:effectExtent l="0" t="0" r="273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D80C1" id="Line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70.85pt,6.15pt" to="284.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16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">
                <w10:wrap anchorx="margin"/>
              </v:line>
            </w:pict>
          </mc:Fallback>
        </mc:AlternateContent>
      </w:r>
      <w:r w:rsidR="00FE0364" w:rsidRPr="00620062">
        <w:rPr>
          <w:spacing w:val="4"/>
          <w:sz w:val="27"/>
          <w:szCs w:val="27"/>
        </w:rPr>
        <w:t>Kính gửi: Hội đồng nhân dân tỉnh khoá XVII</w:t>
      </w:r>
    </w:p>
    <w:p w14:paraId="00CA638B" w14:textId="680059A7" w:rsidR="0088251C" w:rsidRPr="00620062" w:rsidRDefault="0088251C" w:rsidP="006A16F5">
      <w:pPr>
        <w:spacing w:before="60" w:after="60" w:line="264" w:lineRule="auto"/>
        <w:ind w:firstLine="567"/>
        <w:jc w:val="both"/>
        <w:rPr>
          <w:spacing w:val="-4"/>
          <w:sz w:val="27"/>
          <w:szCs w:val="27"/>
        </w:rPr>
      </w:pPr>
      <w:r w:rsidRPr="00620062">
        <w:rPr>
          <w:spacing w:val="-4"/>
          <w:sz w:val="27"/>
          <w:szCs w:val="27"/>
        </w:rPr>
        <w:t xml:space="preserve">Căn cứ Luật </w:t>
      </w:r>
      <w:r w:rsidR="00FE62D1" w:rsidRPr="00620062">
        <w:rPr>
          <w:spacing w:val="-4"/>
          <w:sz w:val="27"/>
          <w:szCs w:val="27"/>
        </w:rPr>
        <w:t>T</w:t>
      </w:r>
      <w:r w:rsidRPr="00620062">
        <w:rPr>
          <w:spacing w:val="-4"/>
          <w:sz w:val="27"/>
          <w:szCs w:val="27"/>
        </w:rPr>
        <w:t xml:space="preserve">ổ chức </w:t>
      </w:r>
      <w:r w:rsidR="00FE62D1" w:rsidRPr="00620062">
        <w:rPr>
          <w:spacing w:val="-4"/>
          <w:sz w:val="27"/>
          <w:szCs w:val="27"/>
        </w:rPr>
        <w:t>c</w:t>
      </w:r>
      <w:r w:rsidRPr="00620062">
        <w:rPr>
          <w:spacing w:val="-4"/>
          <w:sz w:val="27"/>
          <w:szCs w:val="27"/>
        </w:rPr>
        <w:t>hính quyền địa phương ngày 19 tháng 6 năm 2015;</w:t>
      </w:r>
    </w:p>
    <w:p w14:paraId="09C0023C" w14:textId="77777777" w:rsidR="00A46F4B" w:rsidRPr="00620062" w:rsidRDefault="00A46F4B" w:rsidP="006A16F5">
      <w:pPr>
        <w:spacing w:before="60" w:after="60" w:line="264" w:lineRule="auto"/>
        <w:ind w:firstLine="567"/>
        <w:jc w:val="both"/>
        <w:rPr>
          <w:sz w:val="27"/>
          <w:szCs w:val="27"/>
          <w:lang w:val="pt-BR"/>
        </w:rPr>
      </w:pPr>
      <w:r w:rsidRPr="00620062">
        <w:rPr>
          <w:sz w:val="27"/>
          <w:szCs w:val="27"/>
          <w:lang w:val="pt-BR"/>
        </w:rPr>
        <w:t>Căn cứ Luật Ngân sách Nhà nước số 83/2015/QH13;</w:t>
      </w:r>
    </w:p>
    <w:p w14:paraId="3CA72031" w14:textId="77777777" w:rsidR="000B3E3D" w:rsidRPr="00620062" w:rsidRDefault="0088251C" w:rsidP="006A16F5">
      <w:pPr>
        <w:spacing w:before="60" w:after="60" w:line="264" w:lineRule="auto"/>
        <w:ind w:firstLine="567"/>
        <w:jc w:val="both"/>
        <w:rPr>
          <w:spacing w:val="-4"/>
          <w:sz w:val="27"/>
          <w:szCs w:val="27"/>
        </w:rPr>
      </w:pPr>
      <w:r w:rsidRPr="00620062">
        <w:rPr>
          <w:spacing w:val="-4"/>
          <w:sz w:val="27"/>
          <w:szCs w:val="27"/>
        </w:rPr>
        <w:t xml:space="preserve">Căn cứ Luật </w:t>
      </w:r>
      <w:r w:rsidR="00FE62D1" w:rsidRPr="00620062">
        <w:rPr>
          <w:spacing w:val="-4"/>
          <w:sz w:val="27"/>
          <w:szCs w:val="27"/>
        </w:rPr>
        <w:t>Đ</w:t>
      </w:r>
      <w:r w:rsidRPr="00620062">
        <w:rPr>
          <w:spacing w:val="-4"/>
          <w:sz w:val="27"/>
          <w:szCs w:val="27"/>
        </w:rPr>
        <w:t>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w:t>
      </w:r>
      <w:r w:rsidR="000B3E3D" w:rsidRPr="00620062">
        <w:rPr>
          <w:spacing w:val="-4"/>
          <w:sz w:val="27"/>
          <w:szCs w:val="27"/>
        </w:rPr>
        <w:t xml:space="preserve"> Nghị định số 120/2018/NĐ-CP của Chính phủ ngày 13/9/2019 của Chính phủ về sửa đổi, bổ sung một số điều Nghị định số </w:t>
      </w:r>
      <w:hyperlink r:id="rId8" w:tgtFrame="_blank" w:tooltip="Nghị định 77/2015/NĐ-CP" w:history="1">
        <w:r w:rsidR="000B3E3D" w:rsidRPr="00620062">
          <w:rPr>
            <w:spacing w:val="-4"/>
            <w:sz w:val="27"/>
            <w:szCs w:val="27"/>
          </w:rPr>
          <w:t>77/2015/NĐ-CP</w:t>
        </w:r>
      </w:hyperlink>
      <w:r w:rsidR="000B3E3D" w:rsidRPr="00620062">
        <w:rPr>
          <w:spacing w:val="-4"/>
          <w:sz w:val="27"/>
          <w:szCs w:val="27"/>
        </w:rPr>
        <w:t> ngày 10 tháng 9 năm 2015 của Chính phủ về kế hoạch đầu tư công trung hạn và hằng năm, Nghị định số</w:t>
      </w:r>
      <w:hyperlink r:id="rId9" w:tgtFrame="_blank" w:tooltip="Nghị định 136/2015/NĐ-CP" w:history="1">
        <w:r w:rsidR="000B3E3D" w:rsidRPr="00620062">
          <w:rPr>
            <w:spacing w:val="-4"/>
            <w:sz w:val="27"/>
            <w:szCs w:val="27"/>
          </w:rPr>
          <w:t>136/2015/NĐ-CP</w:t>
        </w:r>
      </w:hyperlink>
      <w:r w:rsidR="000B3E3D" w:rsidRPr="00620062">
        <w:rPr>
          <w:spacing w:val="-4"/>
          <w:sz w:val="27"/>
          <w:szCs w:val="27"/>
        </w:rPr>
        <w:t> ngày 31 tháng 12 năm 2015 của Chính phủ về hướng dẫn thi hành một số điều của Luật đầu tư công và Nghị định số </w:t>
      </w:r>
      <w:hyperlink r:id="rId10" w:tgtFrame="_blank" w:tooltip="Nghị định 161/2016/NĐ-CP" w:history="1">
        <w:r w:rsidR="000B3E3D" w:rsidRPr="00620062">
          <w:rPr>
            <w:spacing w:val="-4"/>
            <w:sz w:val="27"/>
            <w:szCs w:val="27"/>
          </w:rPr>
          <w:t>161/2016/NĐ-CP</w:t>
        </w:r>
      </w:hyperlink>
      <w:r w:rsidR="000B3E3D" w:rsidRPr="00620062">
        <w:rPr>
          <w:spacing w:val="-4"/>
          <w:sz w:val="27"/>
          <w:szCs w:val="27"/>
        </w:rPr>
        <w:t> ngày 02 tháng 12 năm 2016 của Chính phủ về cơ chế đặc thù trong quản lý đầu tư xây dựng đối với một số dự án thuộc các Chương trình mục tiêu quốc gia giai đoạn 2016 – 2020;</w:t>
      </w:r>
    </w:p>
    <w:p w14:paraId="19F2CCA4" w14:textId="77777777" w:rsidR="003815ED" w:rsidRPr="00620062" w:rsidRDefault="000F550B" w:rsidP="006A16F5">
      <w:pPr>
        <w:spacing w:before="60" w:after="60" w:line="264" w:lineRule="auto"/>
        <w:ind w:firstLine="567"/>
        <w:jc w:val="both"/>
        <w:rPr>
          <w:sz w:val="27"/>
          <w:szCs w:val="27"/>
          <w:lang w:val="pt-BR"/>
        </w:rPr>
      </w:pPr>
      <w:r w:rsidRPr="00620062">
        <w:rPr>
          <w:sz w:val="27"/>
          <w:szCs w:val="27"/>
          <w:lang w:val="pt-BR"/>
        </w:rPr>
        <w:t>Căn cứ Quyết định số 572/QĐ-BKHĐT ngày 20/4/2017 của Bộ Kế hoạch và Đầu tư về việc giao chi tiết kế hoạch đầu tư trung hạn vốn ngân sách nhà nước giai đoạn 2016-2020; Quyết định số 1178/QĐ-BKHĐT ngày 29/8/2017 của Bộ Kế hoạch và Đầu tư về việc giao chi tiết kế hoạch đầu tư trung hạn vốn ngân sách nhà nước giai đoạn 2016-2020 (đợt 2); Quyết định số 1827/QĐ-BKHĐT ngày 15/12/2017 của Bộ Kế hoạch và Đầu tư về việc giao chi tiết kế hoạch đầu tư trung hạn vốn ngân sách trung ương (bao gồm vốn trái phiếu Chính phủ) giai đoạn 2016-2020 (đợt 3); Quyết định số 1480/QĐ-BKHĐT ngày 15/10/2018 của Bộ Kế hoạch và Đầu tư về việc giao chi tiết kế hoạch đầu tư trung hạn vốn ngân sách trung ương (bao gồm vốn trái phiếu Chính phủ) giai đoạn 2016-2020 (đợt 4)</w:t>
      </w:r>
      <w:r w:rsidR="003815ED" w:rsidRPr="00620062">
        <w:rPr>
          <w:sz w:val="27"/>
          <w:szCs w:val="27"/>
          <w:lang w:val="pt-BR"/>
        </w:rPr>
        <w:t>;</w:t>
      </w:r>
    </w:p>
    <w:p w14:paraId="2966C236" w14:textId="32C85FC9" w:rsidR="008215E4" w:rsidRPr="00620062" w:rsidRDefault="008215E4" w:rsidP="006A16F5">
      <w:pPr>
        <w:spacing w:before="60" w:after="60" w:line="264" w:lineRule="auto"/>
        <w:ind w:firstLine="567"/>
        <w:jc w:val="both"/>
        <w:rPr>
          <w:sz w:val="27"/>
          <w:szCs w:val="27"/>
          <w:lang w:val="pt-BR"/>
        </w:rPr>
      </w:pPr>
      <w:r w:rsidRPr="00620062">
        <w:rPr>
          <w:sz w:val="27"/>
          <w:szCs w:val="27"/>
          <w:lang w:val="pt-BR"/>
        </w:rPr>
        <w:t>Căn cứ Quyết định số 349a/QĐ-TTg ngày 28/3/2019 của Thủ tướng Chính phủ về việc điều chỉnh kế hoạch đầu tư công trung hạn vốn NSTW trong nước (bao gồm vốn trái phiếu Chính phủ) giai đoạn 2016-2020 từ nguồn dự phòng 10% vốn ngân sách Trung ương trong nước tại địa phương; Quyết định số 1066/QĐ-TTg ngày 16/7/2019 của Bộ Kế hoạch và Đầu tư về việc điều chỉnh và giao chi tiết kế hoạch đầu tư công trung hạn vốn ngân sách Trung ương giai đoạn 2016-2020 và năm 2019 cho các dự án tại Phụ lục 1a, 1b kèm theo Nghị quyết số 71/2018/QH14;</w:t>
      </w:r>
    </w:p>
    <w:p w14:paraId="5F05DF7D" w14:textId="3517B942" w:rsidR="003815ED" w:rsidRPr="00620062" w:rsidRDefault="003815ED" w:rsidP="006A16F5">
      <w:pPr>
        <w:spacing w:before="60" w:after="60" w:line="264" w:lineRule="auto"/>
        <w:ind w:firstLine="567"/>
        <w:jc w:val="both"/>
        <w:rPr>
          <w:sz w:val="27"/>
          <w:szCs w:val="27"/>
          <w:lang w:val="pt-BR"/>
        </w:rPr>
      </w:pPr>
      <w:r w:rsidRPr="00620062">
        <w:rPr>
          <w:sz w:val="27"/>
          <w:szCs w:val="27"/>
          <w:lang w:val="pt-BR"/>
        </w:rPr>
        <w:t xml:space="preserve">Căn cứ Chỉ thị số 16/CT-TTg ngày 25/6/2019 của Thủ tướng Chính phủ về xây dựng kế hoạch phát triển kinh tế - xã hội và dự toán ngân sách nhà nước năm 2020; </w:t>
      </w:r>
      <w:r w:rsidRPr="00620062">
        <w:rPr>
          <w:sz w:val="27"/>
          <w:szCs w:val="27"/>
          <w:lang w:val="pt-BR"/>
        </w:rPr>
        <w:lastRenderedPageBreak/>
        <w:t>Công văn số 4538/BKHĐT-TH ngày 03/7/2019 của Bộ Kế hoạch và Đầu tư về việc hướng dẫn xây dựng Kế hoạch năm 2020,</w:t>
      </w:r>
    </w:p>
    <w:p w14:paraId="5DE3EBFD" w14:textId="47550E9A" w:rsidR="00B95359" w:rsidRPr="00620062" w:rsidRDefault="00B95359" w:rsidP="006A16F5">
      <w:pPr>
        <w:spacing w:before="60" w:after="60" w:line="264" w:lineRule="auto"/>
        <w:ind w:firstLine="567"/>
        <w:jc w:val="both"/>
        <w:rPr>
          <w:sz w:val="27"/>
          <w:szCs w:val="27"/>
          <w:lang w:val="pt-BR"/>
        </w:rPr>
      </w:pPr>
      <w:r w:rsidRPr="00620062">
        <w:rPr>
          <w:sz w:val="27"/>
          <w:szCs w:val="27"/>
          <w:lang w:val="pt-BR"/>
        </w:rPr>
        <w:t>UBND tỉnh báo cáo và kính đề nghị HĐND tỉnh xem xét, thống nhất dự kiến kế hoạch đầu tư công năm 2020 nguồn ngân sách Trung ương hỗ trợ (lần thứ nhất), với những nội dung sau:</w:t>
      </w:r>
    </w:p>
    <w:p w14:paraId="19F77726" w14:textId="25DFFF2A" w:rsidR="009E1207" w:rsidRPr="00620062" w:rsidRDefault="00D840D7" w:rsidP="006A16F5">
      <w:pPr>
        <w:numPr>
          <w:ilvl w:val="1"/>
          <w:numId w:val="1"/>
        </w:numPr>
        <w:tabs>
          <w:tab w:val="clear" w:pos="1134"/>
          <w:tab w:val="left" w:pos="851"/>
          <w:tab w:val="left" w:pos="1120"/>
        </w:tabs>
        <w:spacing w:before="60" w:after="60" w:line="264" w:lineRule="auto"/>
        <w:jc w:val="both"/>
        <w:rPr>
          <w:b/>
          <w:sz w:val="27"/>
          <w:szCs w:val="27"/>
          <w:lang w:val="pt-BR"/>
        </w:rPr>
      </w:pPr>
      <w:r w:rsidRPr="00620062">
        <w:rPr>
          <w:b/>
          <w:sz w:val="27"/>
          <w:szCs w:val="27"/>
          <w:lang w:val="pt-BR"/>
        </w:rPr>
        <w:t>Căn cứ đề nghị ban hành Nghị quyết</w:t>
      </w:r>
      <w:r w:rsidR="009E1207" w:rsidRPr="00620062">
        <w:rPr>
          <w:b/>
          <w:sz w:val="27"/>
          <w:szCs w:val="27"/>
          <w:lang w:val="pt-BR"/>
        </w:rPr>
        <w:t>:</w:t>
      </w:r>
    </w:p>
    <w:p w14:paraId="0B2F2F6A" w14:textId="4297C130" w:rsidR="00D840D7" w:rsidRPr="00620062" w:rsidRDefault="00D840D7" w:rsidP="006A16F5">
      <w:pPr>
        <w:tabs>
          <w:tab w:val="left" w:pos="993"/>
        </w:tabs>
        <w:spacing w:before="60" w:after="60" w:line="264" w:lineRule="auto"/>
        <w:ind w:firstLine="567"/>
        <w:jc w:val="both"/>
        <w:rPr>
          <w:spacing w:val="-2"/>
          <w:sz w:val="27"/>
          <w:szCs w:val="27"/>
        </w:rPr>
      </w:pPr>
      <w:r w:rsidRPr="00620062">
        <w:rPr>
          <w:spacing w:val="-2"/>
          <w:sz w:val="27"/>
          <w:szCs w:val="27"/>
        </w:rPr>
        <w:t xml:space="preserve">Căn cứ Điều 33, Nghị định số 77/2015/NĐ-CP về trình tự lập, thẩm định, và tổng hợp kế hoạch đầu tư công hằng năm của địa phương; Điều 3, Nghị định số 120/2018/NĐ-CP ngày 13/9/2018 của Chính phủ về việc sửa đổi bổ sung một số điều Nghị định số 77/2015/NĐ-CP ngày 10/9/2015, Nghị định số 136/2015/NĐ-CP và Nghị định 161/2016/NĐ-CP quy định </w:t>
      </w:r>
      <w:r w:rsidRPr="00620062">
        <w:rPr>
          <w:i/>
          <w:spacing w:val="-2"/>
          <w:sz w:val="27"/>
          <w:szCs w:val="27"/>
        </w:rPr>
        <w:t xml:space="preserve">”Bãi bỏ các quy định liên quan đến Thường trực Hội đồng nhân </w:t>
      </w:r>
      <w:r w:rsidR="008D72C2" w:rsidRPr="00620062">
        <w:rPr>
          <w:i/>
          <w:spacing w:val="-2"/>
          <w:sz w:val="27"/>
          <w:szCs w:val="27"/>
        </w:rPr>
        <w:t>d</w:t>
      </w:r>
      <w:r w:rsidRPr="00620062">
        <w:rPr>
          <w:i/>
          <w:spacing w:val="-2"/>
          <w:sz w:val="27"/>
          <w:szCs w:val="27"/>
        </w:rPr>
        <w:t xml:space="preserve">ân tại Điều 33, Nghị định số 77/2015/NĐ-CP ngày 10/9/2015, </w:t>
      </w:r>
      <w:r w:rsidRPr="00620062">
        <w:rPr>
          <w:spacing w:val="-2"/>
          <w:sz w:val="27"/>
          <w:szCs w:val="27"/>
        </w:rPr>
        <w:t>quy trình xây dựng Kế hoạch đầu tư công nguồn NSTW hỗ trợ năm 2020 (lần thứ nhất) như sau:</w:t>
      </w:r>
    </w:p>
    <w:p w14:paraId="2C3AAEE8" w14:textId="57FEF6D7" w:rsidR="00D840D7" w:rsidRPr="00620062" w:rsidRDefault="00D840D7" w:rsidP="006A16F5">
      <w:pPr>
        <w:numPr>
          <w:ilvl w:val="0"/>
          <w:numId w:val="3"/>
        </w:numPr>
        <w:tabs>
          <w:tab w:val="left" w:pos="851"/>
        </w:tabs>
        <w:spacing w:before="60" w:after="60" w:line="264" w:lineRule="auto"/>
        <w:ind w:left="0" w:firstLine="567"/>
        <w:jc w:val="both"/>
        <w:rPr>
          <w:spacing w:val="-2"/>
          <w:sz w:val="27"/>
          <w:szCs w:val="27"/>
        </w:rPr>
      </w:pPr>
      <w:r w:rsidRPr="00620062">
        <w:rPr>
          <w:spacing w:val="-2"/>
          <w:sz w:val="27"/>
          <w:szCs w:val="27"/>
        </w:rPr>
        <w:t>Bước 1: UBND tỉnh trình HĐND tỉnh cho ý kiến dự kiến lần thứ nhất Kế hoạch đầu tư công nguồn ngân sách Trung ương hỗ trợ năm 2020.</w:t>
      </w:r>
    </w:p>
    <w:p w14:paraId="6254B300" w14:textId="77777777" w:rsidR="00D840D7" w:rsidRPr="00620062" w:rsidRDefault="00D840D7" w:rsidP="006A16F5">
      <w:pPr>
        <w:numPr>
          <w:ilvl w:val="0"/>
          <w:numId w:val="3"/>
        </w:numPr>
        <w:tabs>
          <w:tab w:val="left" w:pos="851"/>
        </w:tabs>
        <w:spacing w:before="60" w:after="60" w:line="264" w:lineRule="auto"/>
        <w:ind w:left="0" w:firstLine="567"/>
        <w:jc w:val="both"/>
        <w:rPr>
          <w:spacing w:val="-2"/>
          <w:sz w:val="27"/>
          <w:szCs w:val="27"/>
        </w:rPr>
      </w:pPr>
      <w:r w:rsidRPr="00620062">
        <w:rPr>
          <w:spacing w:val="-2"/>
          <w:sz w:val="27"/>
          <w:szCs w:val="27"/>
        </w:rPr>
        <w:t>Bước 2: Căn cứ ý kiến của HĐND tỉnh, UBND tỉnh hoàn chỉnh dự kiến lần thứ nhất Kế hoạch đầu tư công nguồn ngân sách Trung ương hỗ trợ năm 2020 gửi Bộ Kế hoạch và Đầu tư, Bộ Tài chính.</w:t>
      </w:r>
    </w:p>
    <w:p w14:paraId="6663F418" w14:textId="6D7CBE57" w:rsidR="00D840D7" w:rsidRPr="00620062" w:rsidRDefault="00D840D7" w:rsidP="006A16F5">
      <w:pPr>
        <w:tabs>
          <w:tab w:val="left" w:pos="993"/>
        </w:tabs>
        <w:spacing w:before="60" w:after="60" w:line="264" w:lineRule="auto"/>
        <w:ind w:firstLine="567"/>
        <w:jc w:val="both"/>
        <w:rPr>
          <w:spacing w:val="-2"/>
          <w:sz w:val="27"/>
          <w:szCs w:val="27"/>
        </w:rPr>
      </w:pPr>
      <w:r w:rsidRPr="00620062">
        <w:rPr>
          <w:spacing w:val="-2"/>
          <w:sz w:val="27"/>
          <w:szCs w:val="27"/>
        </w:rPr>
        <w:t>Vì vậy, để đảm bảo thực hiện đúng quy định của Trung ương, kính đề nghị HĐND tỉnh thông qua Nghị quyết dự kiến Kế hoạch đầu tư công nguồn ngân sách Trung ương hỗ trợ năm 2020 (lần thứ nhất) tại kỳ họp bất thường.</w:t>
      </w:r>
    </w:p>
    <w:p w14:paraId="3F0F2615" w14:textId="0072587F" w:rsidR="00C46CAF" w:rsidRPr="00620062" w:rsidRDefault="00C46CAF" w:rsidP="006A16F5">
      <w:pPr>
        <w:numPr>
          <w:ilvl w:val="1"/>
          <w:numId w:val="1"/>
        </w:numPr>
        <w:tabs>
          <w:tab w:val="clear" w:pos="1134"/>
          <w:tab w:val="left" w:pos="851"/>
          <w:tab w:val="left" w:pos="1120"/>
        </w:tabs>
        <w:spacing w:before="60" w:after="60" w:line="264" w:lineRule="auto"/>
        <w:jc w:val="both"/>
        <w:rPr>
          <w:b/>
          <w:sz w:val="27"/>
          <w:szCs w:val="27"/>
          <w:lang w:val="pt-BR"/>
        </w:rPr>
      </w:pPr>
      <w:r w:rsidRPr="00620062">
        <w:rPr>
          <w:b/>
          <w:sz w:val="27"/>
          <w:szCs w:val="27"/>
          <w:lang w:val="pt-BR"/>
        </w:rPr>
        <w:t>Nguyên tắc phân bổ vốn ngân sách Trung ương hỗ trợ năm 2020</w:t>
      </w:r>
    </w:p>
    <w:p w14:paraId="7FDA02F1" w14:textId="074E4434" w:rsidR="00C46CAF" w:rsidRDefault="00C46CAF" w:rsidP="006A16F5">
      <w:pPr>
        <w:tabs>
          <w:tab w:val="left" w:pos="993"/>
        </w:tabs>
        <w:spacing w:before="60" w:after="60" w:line="264" w:lineRule="auto"/>
        <w:ind w:firstLine="567"/>
        <w:jc w:val="both"/>
        <w:rPr>
          <w:spacing w:val="-2"/>
          <w:sz w:val="27"/>
          <w:szCs w:val="27"/>
        </w:rPr>
      </w:pPr>
      <w:r w:rsidRPr="00620062">
        <w:rPr>
          <w:spacing w:val="-2"/>
          <w:sz w:val="27"/>
          <w:szCs w:val="27"/>
        </w:rPr>
        <w:t>Căn cứ số vốn Kế hoạch đầu tư công trung hạn giai đoạn 2016-2020 nguồn NSTW đã được Thủ tướng Chính phủ, Bộ Kế hoạch và Đầu tư giao và Kế hoạch đầu tư công hằng năm nguồn vốn NSTW hỗ trợ đã phân bổ giai đoạn 2016-2019, UBND tỉnh đề xuất nguyên tắc phân bổ Kế hoạch đầu tư công năm 2020 nguồn NSTW hỗ trợ như sau:</w:t>
      </w:r>
      <w:bookmarkStart w:id="0" w:name="_GoBack"/>
      <w:bookmarkEnd w:id="0"/>
    </w:p>
    <w:p w14:paraId="4334D45D" w14:textId="6EF227DF" w:rsidR="00C46CAF" w:rsidRPr="003B2685" w:rsidRDefault="00C46CAF" w:rsidP="003B2685">
      <w:pPr>
        <w:pStyle w:val="ListParagraph"/>
        <w:numPr>
          <w:ilvl w:val="4"/>
          <w:numId w:val="1"/>
        </w:numPr>
        <w:tabs>
          <w:tab w:val="left" w:pos="993"/>
        </w:tabs>
        <w:spacing w:before="60" w:after="60" w:line="264" w:lineRule="auto"/>
        <w:jc w:val="both"/>
        <w:rPr>
          <w:spacing w:val="-2"/>
          <w:sz w:val="27"/>
          <w:szCs w:val="27"/>
        </w:rPr>
      </w:pPr>
      <w:r w:rsidRPr="003B2685">
        <w:rPr>
          <w:spacing w:val="-2"/>
          <w:sz w:val="27"/>
          <w:szCs w:val="27"/>
        </w:rPr>
        <w:t xml:space="preserve">Bố trí đủ 100% hạn mức còn lại của kế hoạch đầu tư trung hạn </w:t>
      </w:r>
      <w:r w:rsidR="006A16F5" w:rsidRPr="003B2685">
        <w:rPr>
          <w:spacing w:val="-2"/>
          <w:sz w:val="27"/>
          <w:szCs w:val="27"/>
        </w:rPr>
        <w:t xml:space="preserve">giai đoạn 2016-2020 </w:t>
      </w:r>
      <w:r w:rsidRPr="003B2685">
        <w:rPr>
          <w:spacing w:val="-2"/>
          <w:sz w:val="27"/>
          <w:szCs w:val="27"/>
        </w:rPr>
        <w:t xml:space="preserve">nguồn NSTW hỗ trợ đã được Thủ tướng Chính phủ, Bộ Kế hoạch và Đầu tư giao (bao gồm dự phòng 10%) trừ đi lũy kế số vốn đã bố trí </w:t>
      </w:r>
      <w:r w:rsidR="006A16F5" w:rsidRPr="003B2685">
        <w:rPr>
          <w:spacing w:val="-2"/>
          <w:sz w:val="27"/>
          <w:szCs w:val="27"/>
        </w:rPr>
        <w:t xml:space="preserve">từ năm 2016 </w:t>
      </w:r>
      <w:r w:rsidRPr="003B2685">
        <w:rPr>
          <w:spacing w:val="-2"/>
          <w:sz w:val="27"/>
          <w:szCs w:val="27"/>
        </w:rPr>
        <w:t>đến năm 2019, cụ thể:</w:t>
      </w:r>
    </w:p>
    <w:p w14:paraId="19B87B81" w14:textId="7E73738D" w:rsidR="00C46CAF" w:rsidRDefault="00C46CAF" w:rsidP="006A16F5">
      <w:pPr>
        <w:tabs>
          <w:tab w:val="left" w:pos="993"/>
        </w:tabs>
        <w:spacing w:before="60" w:after="60" w:line="264" w:lineRule="auto"/>
        <w:ind w:firstLine="567"/>
        <w:jc w:val="both"/>
        <w:rPr>
          <w:spacing w:val="-2"/>
          <w:sz w:val="27"/>
          <w:szCs w:val="27"/>
        </w:rPr>
      </w:pPr>
      <w:r w:rsidRPr="00620062">
        <w:rPr>
          <w:spacing w:val="-2"/>
          <w:sz w:val="27"/>
          <w:szCs w:val="27"/>
        </w:rPr>
        <w:t>(KH ĐTC NSTW 2020) = (KH ĐTC trung hạn 2016-2020) - (KH ĐTC NSTW 2016) - (KH ĐTC NSTW 2017) - (KH ĐTC NSTW 2018) - (KH ĐTC NSTW 2019)</w:t>
      </w:r>
    </w:p>
    <w:p w14:paraId="74C6156D" w14:textId="739F563D" w:rsidR="003B2685" w:rsidRPr="003B2685" w:rsidRDefault="003B2685" w:rsidP="003B2685">
      <w:pPr>
        <w:pStyle w:val="ListParagraph"/>
        <w:numPr>
          <w:ilvl w:val="4"/>
          <w:numId w:val="1"/>
        </w:numPr>
        <w:tabs>
          <w:tab w:val="left" w:pos="993"/>
        </w:tabs>
        <w:spacing w:before="60" w:after="60" w:line="264" w:lineRule="auto"/>
        <w:jc w:val="both"/>
        <w:rPr>
          <w:spacing w:val="-2"/>
          <w:sz w:val="27"/>
          <w:szCs w:val="27"/>
        </w:rPr>
      </w:pPr>
      <w:r>
        <w:rPr>
          <w:spacing w:val="-2"/>
          <w:sz w:val="27"/>
          <w:szCs w:val="27"/>
        </w:rPr>
        <w:t xml:space="preserve">Các dự án dự kiến phân bổ Kế hoạch năm 2020 phải thuộc danh mục đã được Thủ tướng Chính phủ giao </w:t>
      </w:r>
      <w:r>
        <w:rPr>
          <w:spacing w:val="-2"/>
          <w:sz w:val="27"/>
          <w:szCs w:val="27"/>
        </w:rPr>
        <w:t xml:space="preserve">Kế hoạch đầu tư công trung hạn giai đoạn 2016-2020 </w:t>
      </w:r>
      <w:r>
        <w:rPr>
          <w:spacing w:val="-2"/>
          <w:sz w:val="27"/>
          <w:szCs w:val="27"/>
        </w:rPr>
        <w:t xml:space="preserve">và </w:t>
      </w:r>
      <w:r>
        <w:rPr>
          <w:spacing w:val="-2"/>
          <w:sz w:val="27"/>
          <w:szCs w:val="27"/>
        </w:rPr>
        <w:t>danh mục đang được</w:t>
      </w:r>
      <w:r>
        <w:rPr>
          <w:spacing w:val="-2"/>
          <w:sz w:val="27"/>
          <w:szCs w:val="27"/>
        </w:rPr>
        <w:t xml:space="preserve"> Bộ Kế hoạch và Đầu tư tổng hợp trình Thủ tướng Chính phủ</w:t>
      </w:r>
      <w:r>
        <w:rPr>
          <w:spacing w:val="-2"/>
          <w:sz w:val="27"/>
          <w:szCs w:val="27"/>
        </w:rPr>
        <w:t xml:space="preserve"> bổ sung vào K</w:t>
      </w:r>
      <w:r>
        <w:rPr>
          <w:spacing w:val="-2"/>
          <w:sz w:val="27"/>
          <w:szCs w:val="27"/>
        </w:rPr>
        <w:t>ế hoạch đầu tư công trung hạn giai đoạn 2016-2020</w:t>
      </w:r>
      <w:r>
        <w:rPr>
          <w:spacing w:val="-2"/>
          <w:sz w:val="27"/>
          <w:szCs w:val="27"/>
        </w:rPr>
        <w:t xml:space="preserve"> nguồn NSTW</w:t>
      </w:r>
      <w:r>
        <w:rPr>
          <w:spacing w:val="-2"/>
          <w:sz w:val="27"/>
          <w:szCs w:val="27"/>
        </w:rPr>
        <w:t>.</w:t>
      </w:r>
    </w:p>
    <w:p w14:paraId="250BF084" w14:textId="27160811" w:rsidR="00441760" w:rsidRPr="00620062" w:rsidRDefault="00441760" w:rsidP="006A16F5">
      <w:pPr>
        <w:numPr>
          <w:ilvl w:val="1"/>
          <w:numId w:val="1"/>
        </w:numPr>
        <w:tabs>
          <w:tab w:val="clear" w:pos="1134"/>
          <w:tab w:val="left" w:pos="851"/>
          <w:tab w:val="left" w:pos="1120"/>
        </w:tabs>
        <w:spacing w:before="60" w:after="60" w:line="264" w:lineRule="auto"/>
        <w:jc w:val="both"/>
        <w:rPr>
          <w:b/>
          <w:sz w:val="27"/>
          <w:szCs w:val="27"/>
          <w:lang w:val="pt-BR"/>
        </w:rPr>
      </w:pPr>
      <w:r w:rsidRPr="00620062">
        <w:rPr>
          <w:b/>
          <w:sz w:val="27"/>
          <w:szCs w:val="27"/>
          <w:lang w:val="pt-BR"/>
        </w:rPr>
        <w:t xml:space="preserve">Dự kiến </w:t>
      </w:r>
      <w:r w:rsidR="00C46CAF" w:rsidRPr="00620062">
        <w:rPr>
          <w:b/>
          <w:sz w:val="27"/>
          <w:szCs w:val="27"/>
          <w:lang w:val="pt-BR"/>
        </w:rPr>
        <w:t xml:space="preserve">phương án phân bổ </w:t>
      </w:r>
      <w:r w:rsidRPr="00620062">
        <w:rPr>
          <w:b/>
          <w:sz w:val="27"/>
          <w:szCs w:val="27"/>
          <w:lang w:val="pt-BR"/>
        </w:rPr>
        <w:t>Kế hoạch đầu tư công nguồn ngân sách Trung ương hỗ trợ năm 2020</w:t>
      </w:r>
    </w:p>
    <w:p w14:paraId="0EE92DCA" w14:textId="5D670C51" w:rsidR="00830C1F" w:rsidRPr="00620062" w:rsidRDefault="00830C1F" w:rsidP="006A16F5">
      <w:pPr>
        <w:spacing w:before="60" w:after="60" w:line="264" w:lineRule="auto"/>
        <w:ind w:firstLine="567"/>
        <w:jc w:val="both"/>
        <w:rPr>
          <w:sz w:val="27"/>
          <w:szCs w:val="27"/>
        </w:rPr>
      </w:pPr>
      <w:r w:rsidRPr="00620062">
        <w:rPr>
          <w:sz w:val="27"/>
          <w:szCs w:val="27"/>
        </w:rPr>
        <w:lastRenderedPageBreak/>
        <w:t>Trên cơ sở tổng nguồn vốn ngân sách Trung ương còn lại năm 2020 và nguyên tắc tiêu chí phân bổ vốn nêu trên, UBND tỉnh dự kiến phương án phân bổ kế hoạch đầu tư công nguồn ngân sách Trung ương năm 2020 như sau:</w:t>
      </w:r>
    </w:p>
    <w:p w14:paraId="17BB1A09" w14:textId="18D662A4" w:rsidR="00620062" w:rsidRPr="00620062" w:rsidRDefault="00ED0593" w:rsidP="006A16F5">
      <w:pPr>
        <w:spacing w:before="60" w:after="60" w:line="264" w:lineRule="auto"/>
        <w:ind w:firstLine="567"/>
        <w:jc w:val="both"/>
        <w:rPr>
          <w:sz w:val="27"/>
          <w:szCs w:val="27"/>
        </w:rPr>
      </w:pPr>
      <w:r w:rsidRPr="00620062">
        <w:rPr>
          <w:sz w:val="27"/>
          <w:szCs w:val="27"/>
        </w:rPr>
        <w:t xml:space="preserve">Dự kiến tổng nguồn vốn ngân sách Trung ương năm 2020 của tỉnh Quảng Bình là </w:t>
      </w:r>
      <w:r w:rsidRPr="00620062">
        <w:rPr>
          <w:b/>
          <w:sz w:val="27"/>
          <w:szCs w:val="27"/>
        </w:rPr>
        <w:t>2.</w:t>
      </w:r>
      <w:r w:rsidR="003B2685">
        <w:rPr>
          <w:b/>
          <w:sz w:val="27"/>
          <w:szCs w:val="27"/>
        </w:rPr>
        <w:t>518</w:t>
      </w:r>
      <w:r w:rsidRPr="00620062">
        <w:rPr>
          <w:b/>
          <w:sz w:val="27"/>
          <w:szCs w:val="27"/>
        </w:rPr>
        <w:t>.</w:t>
      </w:r>
      <w:r w:rsidR="003B2685">
        <w:rPr>
          <w:b/>
          <w:sz w:val="27"/>
          <w:szCs w:val="27"/>
        </w:rPr>
        <w:t>030</w:t>
      </w:r>
      <w:r w:rsidRPr="00620062">
        <w:rPr>
          <w:b/>
          <w:sz w:val="27"/>
          <w:szCs w:val="27"/>
        </w:rPr>
        <w:t xml:space="preserve"> triệu đồng</w:t>
      </w:r>
      <w:r w:rsidR="00620062" w:rsidRPr="00620062">
        <w:rPr>
          <w:sz w:val="27"/>
          <w:szCs w:val="27"/>
        </w:rPr>
        <w:t>, gồm:</w:t>
      </w:r>
    </w:p>
    <w:p w14:paraId="49BBED06" w14:textId="3F905FD5" w:rsidR="00830C1F" w:rsidRPr="00620062" w:rsidRDefault="00830C1F" w:rsidP="006A16F5">
      <w:pPr>
        <w:pStyle w:val="ListParagraph"/>
        <w:widowControl w:val="0"/>
        <w:numPr>
          <w:ilvl w:val="0"/>
          <w:numId w:val="4"/>
        </w:numPr>
        <w:tabs>
          <w:tab w:val="left" w:pos="851"/>
        </w:tabs>
        <w:spacing w:before="60" w:after="60" w:line="264" w:lineRule="auto"/>
        <w:ind w:left="0" w:right="-57" w:firstLine="567"/>
        <w:jc w:val="both"/>
        <w:rPr>
          <w:i/>
          <w:sz w:val="27"/>
          <w:szCs w:val="27"/>
        </w:rPr>
      </w:pPr>
      <w:r w:rsidRPr="00620062">
        <w:rPr>
          <w:i/>
          <w:sz w:val="27"/>
          <w:szCs w:val="27"/>
        </w:rPr>
        <w:t>Vốn trong nước: 1.</w:t>
      </w:r>
      <w:r w:rsidR="007C1B3C">
        <w:rPr>
          <w:i/>
          <w:sz w:val="27"/>
          <w:szCs w:val="27"/>
        </w:rPr>
        <w:t>554</w:t>
      </w:r>
      <w:r w:rsidRPr="00620062">
        <w:rPr>
          <w:i/>
          <w:sz w:val="27"/>
          <w:szCs w:val="27"/>
        </w:rPr>
        <w:t>.</w:t>
      </w:r>
      <w:r w:rsidR="007C1B3C">
        <w:rPr>
          <w:i/>
          <w:sz w:val="27"/>
          <w:szCs w:val="27"/>
        </w:rPr>
        <w:t>851</w:t>
      </w:r>
      <w:r w:rsidRPr="00620062">
        <w:rPr>
          <w:i/>
          <w:sz w:val="27"/>
          <w:szCs w:val="27"/>
        </w:rPr>
        <w:t xml:space="preserve"> triệu đồng, trong đó:</w:t>
      </w:r>
    </w:p>
    <w:p w14:paraId="18CD0242" w14:textId="21DEA35F" w:rsidR="009D06F5" w:rsidRPr="00620062" w:rsidRDefault="00830C1F" w:rsidP="006A16F5">
      <w:pPr>
        <w:pStyle w:val="ListParagraph"/>
        <w:widowControl w:val="0"/>
        <w:numPr>
          <w:ilvl w:val="4"/>
          <w:numId w:val="1"/>
        </w:numPr>
        <w:tabs>
          <w:tab w:val="clear" w:pos="1134"/>
          <w:tab w:val="num" w:pos="851"/>
        </w:tabs>
        <w:spacing w:before="60" w:after="60" w:line="264" w:lineRule="auto"/>
        <w:ind w:right="-57"/>
        <w:jc w:val="both"/>
        <w:rPr>
          <w:sz w:val="27"/>
          <w:szCs w:val="27"/>
        </w:rPr>
      </w:pPr>
      <w:r w:rsidRPr="00620062">
        <w:rPr>
          <w:sz w:val="27"/>
          <w:szCs w:val="27"/>
        </w:rPr>
        <w:t>Vốn đầu tư theo các chương trình mục tiêu</w:t>
      </w:r>
      <w:r w:rsidR="007C1B3C">
        <w:rPr>
          <w:sz w:val="27"/>
          <w:szCs w:val="27"/>
        </w:rPr>
        <w:t xml:space="preserve"> </w:t>
      </w:r>
      <w:r w:rsidR="007C1B3C">
        <w:rPr>
          <w:i/>
          <w:sz w:val="27"/>
          <w:szCs w:val="27"/>
        </w:rPr>
        <w:t>(không bao gồm đối ứng ODA)</w:t>
      </w:r>
      <w:r w:rsidRPr="00620062">
        <w:rPr>
          <w:sz w:val="27"/>
          <w:szCs w:val="27"/>
        </w:rPr>
        <w:t xml:space="preserve">: </w:t>
      </w:r>
      <w:r w:rsidR="00FE7E8F">
        <w:rPr>
          <w:sz w:val="27"/>
          <w:szCs w:val="27"/>
          <w:lang w:eastAsia="vi-VN"/>
        </w:rPr>
        <w:t>960.073</w:t>
      </w:r>
      <w:r w:rsidRPr="00620062">
        <w:rPr>
          <w:sz w:val="27"/>
          <w:szCs w:val="27"/>
          <w:lang w:eastAsia="vi-VN"/>
        </w:rPr>
        <w:t xml:space="preserve"> triệu đồng</w:t>
      </w:r>
      <w:r w:rsidRPr="00620062">
        <w:rPr>
          <w:sz w:val="27"/>
          <w:szCs w:val="27"/>
        </w:rPr>
        <w:t xml:space="preserve">, trong đó: Thu hồi ứng trước </w:t>
      </w:r>
      <w:r w:rsidR="007C1B3C">
        <w:rPr>
          <w:sz w:val="27"/>
          <w:szCs w:val="27"/>
        </w:rPr>
        <w:t>1</w:t>
      </w:r>
      <w:r w:rsidR="009D06F5" w:rsidRPr="00620062">
        <w:rPr>
          <w:sz w:val="27"/>
          <w:szCs w:val="27"/>
        </w:rPr>
        <w:t>2</w:t>
      </w:r>
      <w:r w:rsidRPr="00620062">
        <w:rPr>
          <w:sz w:val="27"/>
          <w:szCs w:val="27"/>
        </w:rPr>
        <w:t>.</w:t>
      </w:r>
      <w:r w:rsidR="007C1B3C">
        <w:rPr>
          <w:sz w:val="27"/>
          <w:szCs w:val="27"/>
        </w:rPr>
        <w:t>700</w:t>
      </w:r>
      <w:r w:rsidRPr="00620062">
        <w:rPr>
          <w:sz w:val="27"/>
          <w:szCs w:val="27"/>
        </w:rPr>
        <w:t xml:space="preserve"> triệu đồng.</w:t>
      </w:r>
    </w:p>
    <w:p w14:paraId="709B8BA0" w14:textId="77777777" w:rsidR="009D06F5" w:rsidRPr="00620062" w:rsidRDefault="00830C1F" w:rsidP="006A16F5">
      <w:pPr>
        <w:pStyle w:val="ListParagraph"/>
        <w:widowControl w:val="0"/>
        <w:numPr>
          <w:ilvl w:val="4"/>
          <w:numId w:val="1"/>
        </w:numPr>
        <w:tabs>
          <w:tab w:val="clear" w:pos="1134"/>
          <w:tab w:val="num" w:pos="851"/>
        </w:tabs>
        <w:spacing w:before="60" w:after="60" w:line="264" w:lineRule="auto"/>
        <w:ind w:right="-57"/>
        <w:jc w:val="both"/>
        <w:rPr>
          <w:sz w:val="27"/>
          <w:szCs w:val="27"/>
        </w:rPr>
      </w:pPr>
      <w:r w:rsidRPr="00620062">
        <w:rPr>
          <w:sz w:val="27"/>
          <w:szCs w:val="27"/>
        </w:rPr>
        <w:t>Vốn trái phiếu Chính phủ: 1</w:t>
      </w:r>
      <w:r w:rsidR="009D06F5" w:rsidRPr="00620062">
        <w:rPr>
          <w:sz w:val="27"/>
          <w:szCs w:val="27"/>
        </w:rPr>
        <w:t>07</w:t>
      </w:r>
      <w:r w:rsidRPr="00620062">
        <w:rPr>
          <w:sz w:val="27"/>
          <w:szCs w:val="27"/>
        </w:rPr>
        <w:t>.</w:t>
      </w:r>
      <w:r w:rsidR="009D06F5" w:rsidRPr="00620062">
        <w:rPr>
          <w:sz w:val="27"/>
          <w:szCs w:val="27"/>
        </w:rPr>
        <w:t>643</w:t>
      </w:r>
      <w:r w:rsidRPr="00620062">
        <w:rPr>
          <w:sz w:val="27"/>
          <w:szCs w:val="27"/>
        </w:rPr>
        <w:t xml:space="preserve"> triệu đồng.</w:t>
      </w:r>
    </w:p>
    <w:p w14:paraId="38D3D7D6" w14:textId="2D0AD2E5" w:rsidR="009D06F5" w:rsidRPr="00620062" w:rsidRDefault="00830C1F" w:rsidP="006A16F5">
      <w:pPr>
        <w:pStyle w:val="ListParagraph"/>
        <w:widowControl w:val="0"/>
        <w:numPr>
          <w:ilvl w:val="4"/>
          <w:numId w:val="1"/>
        </w:numPr>
        <w:tabs>
          <w:tab w:val="clear" w:pos="1134"/>
          <w:tab w:val="num" w:pos="851"/>
        </w:tabs>
        <w:spacing w:before="60" w:after="60" w:line="264" w:lineRule="auto"/>
        <w:ind w:right="-57"/>
        <w:jc w:val="both"/>
        <w:rPr>
          <w:sz w:val="27"/>
          <w:szCs w:val="27"/>
        </w:rPr>
      </w:pPr>
      <w:r w:rsidRPr="00620062">
        <w:rPr>
          <w:sz w:val="27"/>
          <w:szCs w:val="27"/>
        </w:rPr>
        <w:t xml:space="preserve">Vốn </w:t>
      </w:r>
      <w:r w:rsidR="006A280B">
        <w:rPr>
          <w:sz w:val="27"/>
          <w:szCs w:val="27"/>
        </w:rPr>
        <w:t>các C</w:t>
      </w:r>
      <w:r w:rsidRPr="00620062">
        <w:rPr>
          <w:sz w:val="27"/>
          <w:szCs w:val="27"/>
        </w:rPr>
        <w:t xml:space="preserve">hương trình mục tiêu Quốc gia: </w:t>
      </w:r>
      <w:r w:rsidR="009D06F5" w:rsidRPr="00620062">
        <w:rPr>
          <w:sz w:val="27"/>
          <w:szCs w:val="27"/>
        </w:rPr>
        <w:t>4</w:t>
      </w:r>
      <w:r w:rsidR="007C1B3C">
        <w:rPr>
          <w:sz w:val="27"/>
          <w:szCs w:val="27"/>
        </w:rPr>
        <w:t>87</w:t>
      </w:r>
      <w:r w:rsidR="009D06F5" w:rsidRPr="00620062">
        <w:rPr>
          <w:sz w:val="27"/>
          <w:szCs w:val="27"/>
        </w:rPr>
        <w:t>.135</w:t>
      </w:r>
      <w:r w:rsidRPr="00620062">
        <w:rPr>
          <w:sz w:val="27"/>
          <w:szCs w:val="27"/>
        </w:rPr>
        <w:t xml:space="preserve"> triệu đồng</w:t>
      </w:r>
      <w:r w:rsidR="009D06F5" w:rsidRPr="00620062">
        <w:rPr>
          <w:sz w:val="27"/>
          <w:szCs w:val="27"/>
        </w:rPr>
        <w:t>, trong đó:</w:t>
      </w:r>
      <w:r w:rsidRPr="00620062">
        <w:rPr>
          <w:sz w:val="27"/>
          <w:szCs w:val="27"/>
        </w:rPr>
        <w:t xml:space="preserve"> Chương trình MTQG xây dựng nông thôn mới </w:t>
      </w:r>
      <w:r w:rsidR="009D06F5" w:rsidRPr="00620062">
        <w:rPr>
          <w:sz w:val="27"/>
          <w:szCs w:val="27"/>
        </w:rPr>
        <w:t>38</w:t>
      </w:r>
      <w:r w:rsidR="007C1B3C">
        <w:rPr>
          <w:sz w:val="27"/>
          <w:szCs w:val="27"/>
        </w:rPr>
        <w:t>2</w:t>
      </w:r>
      <w:r w:rsidRPr="00620062">
        <w:rPr>
          <w:sz w:val="27"/>
          <w:szCs w:val="27"/>
        </w:rPr>
        <w:t>.</w:t>
      </w:r>
      <w:r w:rsidR="009D06F5" w:rsidRPr="00620062">
        <w:rPr>
          <w:sz w:val="27"/>
          <w:szCs w:val="27"/>
        </w:rPr>
        <w:t>030</w:t>
      </w:r>
      <w:r w:rsidRPr="00620062">
        <w:rPr>
          <w:sz w:val="27"/>
          <w:szCs w:val="27"/>
        </w:rPr>
        <w:t xml:space="preserve"> triệu đồng, Chương trình MTQG giảm nghèo bền vững </w:t>
      </w:r>
      <w:r w:rsidR="009D06F5" w:rsidRPr="00620062">
        <w:rPr>
          <w:sz w:val="27"/>
          <w:szCs w:val="27"/>
        </w:rPr>
        <w:t>105</w:t>
      </w:r>
      <w:r w:rsidRPr="00620062">
        <w:rPr>
          <w:sz w:val="27"/>
          <w:szCs w:val="27"/>
        </w:rPr>
        <w:t>.</w:t>
      </w:r>
      <w:r w:rsidR="009D06F5" w:rsidRPr="00620062">
        <w:rPr>
          <w:sz w:val="27"/>
          <w:szCs w:val="27"/>
        </w:rPr>
        <w:t>105 triệu đồng</w:t>
      </w:r>
      <w:r w:rsidR="00472F05">
        <w:rPr>
          <w:sz w:val="27"/>
          <w:szCs w:val="27"/>
        </w:rPr>
        <w:t>.</w:t>
      </w:r>
      <w:r w:rsidR="009D06F5" w:rsidRPr="00620062">
        <w:rPr>
          <w:sz w:val="27"/>
          <w:szCs w:val="27"/>
        </w:rPr>
        <w:t xml:space="preserve"> </w:t>
      </w:r>
      <w:r w:rsidR="009D06F5" w:rsidRPr="00620062">
        <w:rPr>
          <w:sz w:val="27"/>
          <w:szCs w:val="27"/>
          <w:lang w:val="pt-BR"/>
        </w:rPr>
        <w:t>Sau khi có hướng dẫn của các Bộ, ngành chủ quản chương trình, UBND tỉnh sẽ báo cáo phương án phân bổ kế hoạch vốn đầu tư các Chương trình MTQG năm 202</w:t>
      </w:r>
      <w:r w:rsidR="00472F05">
        <w:rPr>
          <w:sz w:val="27"/>
          <w:szCs w:val="27"/>
          <w:lang w:val="pt-BR"/>
        </w:rPr>
        <w:t>0 trình HĐND tỉnh theo quy định</w:t>
      </w:r>
      <w:r w:rsidR="009D06F5" w:rsidRPr="00620062">
        <w:rPr>
          <w:sz w:val="27"/>
          <w:szCs w:val="27"/>
          <w:lang w:val="pt-BR"/>
        </w:rPr>
        <w:t>.</w:t>
      </w:r>
    </w:p>
    <w:p w14:paraId="4C52A4D4" w14:textId="5074B674" w:rsidR="00830C1F" w:rsidRDefault="00830C1F" w:rsidP="006A16F5">
      <w:pPr>
        <w:pStyle w:val="ListParagraph"/>
        <w:widowControl w:val="0"/>
        <w:numPr>
          <w:ilvl w:val="0"/>
          <w:numId w:val="4"/>
        </w:numPr>
        <w:tabs>
          <w:tab w:val="left" w:pos="851"/>
        </w:tabs>
        <w:spacing w:before="60" w:after="60" w:line="264" w:lineRule="auto"/>
        <w:ind w:left="0" w:right="-57" w:firstLine="567"/>
        <w:jc w:val="both"/>
        <w:rPr>
          <w:i/>
          <w:sz w:val="27"/>
          <w:szCs w:val="27"/>
        </w:rPr>
      </w:pPr>
      <w:r w:rsidRPr="006A280B">
        <w:rPr>
          <w:i/>
          <w:sz w:val="27"/>
          <w:szCs w:val="27"/>
        </w:rPr>
        <w:t>Vốn nước ngoài</w:t>
      </w:r>
      <w:r w:rsidR="007C1B3C" w:rsidRPr="006A280B">
        <w:rPr>
          <w:i/>
          <w:sz w:val="27"/>
          <w:szCs w:val="27"/>
        </w:rPr>
        <w:t xml:space="preserve"> và đối ứng </w:t>
      </w:r>
      <w:r w:rsidR="00FE7E8F" w:rsidRPr="006A280B">
        <w:rPr>
          <w:i/>
          <w:sz w:val="27"/>
          <w:szCs w:val="27"/>
        </w:rPr>
        <w:t>ODA</w:t>
      </w:r>
      <w:r w:rsidR="00FE7E8F">
        <w:rPr>
          <w:i/>
          <w:sz w:val="27"/>
          <w:szCs w:val="27"/>
        </w:rPr>
        <w:t xml:space="preserve"> </w:t>
      </w:r>
      <w:r w:rsidR="007C1B3C">
        <w:rPr>
          <w:i/>
          <w:sz w:val="27"/>
          <w:szCs w:val="27"/>
        </w:rPr>
        <w:t>(Cấp phát NSTW)</w:t>
      </w:r>
      <w:r w:rsidRPr="00620062">
        <w:rPr>
          <w:i/>
          <w:sz w:val="27"/>
          <w:szCs w:val="27"/>
        </w:rPr>
        <w:t xml:space="preserve">: </w:t>
      </w:r>
      <w:r w:rsidR="00293D69">
        <w:rPr>
          <w:i/>
          <w:sz w:val="27"/>
          <w:szCs w:val="27"/>
          <w:lang w:eastAsia="vi-VN"/>
        </w:rPr>
        <w:t>963</w:t>
      </w:r>
      <w:r w:rsidR="008C2109" w:rsidRPr="00620062">
        <w:rPr>
          <w:i/>
          <w:sz w:val="27"/>
          <w:szCs w:val="27"/>
          <w:lang w:eastAsia="vi-VN"/>
        </w:rPr>
        <w:t>.</w:t>
      </w:r>
      <w:r w:rsidR="00293D69">
        <w:rPr>
          <w:i/>
          <w:sz w:val="27"/>
          <w:szCs w:val="27"/>
          <w:lang w:eastAsia="vi-VN"/>
        </w:rPr>
        <w:t>179</w:t>
      </w:r>
      <w:r w:rsidR="008C2109" w:rsidRPr="00620062">
        <w:rPr>
          <w:b/>
          <w:sz w:val="27"/>
          <w:szCs w:val="27"/>
          <w:lang w:eastAsia="vi-VN"/>
        </w:rPr>
        <w:t xml:space="preserve"> </w:t>
      </w:r>
      <w:r w:rsidR="00293D69">
        <w:rPr>
          <w:i/>
          <w:sz w:val="27"/>
          <w:szCs w:val="27"/>
        </w:rPr>
        <w:t>triệu đồng, trong đó:</w:t>
      </w:r>
    </w:p>
    <w:p w14:paraId="466980A1" w14:textId="280892BB" w:rsidR="00293D69" w:rsidRPr="00620062" w:rsidRDefault="00293D69" w:rsidP="00293D69">
      <w:pPr>
        <w:pStyle w:val="ListParagraph"/>
        <w:widowControl w:val="0"/>
        <w:numPr>
          <w:ilvl w:val="4"/>
          <w:numId w:val="1"/>
        </w:numPr>
        <w:tabs>
          <w:tab w:val="clear" w:pos="1134"/>
          <w:tab w:val="num" w:pos="851"/>
        </w:tabs>
        <w:spacing w:before="60" w:after="60" w:line="264" w:lineRule="auto"/>
        <w:ind w:right="-57"/>
        <w:jc w:val="both"/>
        <w:rPr>
          <w:sz w:val="27"/>
          <w:szCs w:val="27"/>
        </w:rPr>
      </w:pPr>
      <w:r w:rsidRPr="00620062">
        <w:rPr>
          <w:sz w:val="27"/>
          <w:szCs w:val="27"/>
        </w:rPr>
        <w:t xml:space="preserve">Vốn </w:t>
      </w:r>
      <w:r>
        <w:rPr>
          <w:sz w:val="27"/>
          <w:szCs w:val="27"/>
        </w:rPr>
        <w:t>nước ngoài ODA</w:t>
      </w:r>
      <w:r>
        <w:rPr>
          <w:sz w:val="27"/>
          <w:szCs w:val="27"/>
        </w:rPr>
        <w:t xml:space="preserve"> </w:t>
      </w:r>
      <w:r w:rsidRPr="00293D69">
        <w:rPr>
          <w:sz w:val="27"/>
          <w:szCs w:val="27"/>
        </w:rPr>
        <w:t xml:space="preserve">(không bao gồm </w:t>
      </w:r>
      <w:r>
        <w:rPr>
          <w:sz w:val="27"/>
          <w:szCs w:val="27"/>
        </w:rPr>
        <w:t>vốn ODA vay lại</w:t>
      </w:r>
      <w:r w:rsidRPr="00293D69">
        <w:rPr>
          <w:sz w:val="27"/>
          <w:szCs w:val="27"/>
        </w:rPr>
        <w:t>)</w:t>
      </w:r>
      <w:r w:rsidRPr="00620062">
        <w:rPr>
          <w:sz w:val="27"/>
          <w:szCs w:val="27"/>
        </w:rPr>
        <w:t xml:space="preserve">: </w:t>
      </w:r>
      <w:r>
        <w:rPr>
          <w:sz w:val="27"/>
          <w:szCs w:val="27"/>
        </w:rPr>
        <w:t>791</w:t>
      </w:r>
      <w:r w:rsidRPr="00620062">
        <w:rPr>
          <w:sz w:val="27"/>
          <w:szCs w:val="27"/>
        </w:rPr>
        <w:t>.</w:t>
      </w:r>
      <w:r>
        <w:rPr>
          <w:sz w:val="27"/>
          <w:szCs w:val="27"/>
        </w:rPr>
        <w:t>358</w:t>
      </w:r>
      <w:r w:rsidRPr="00620062">
        <w:rPr>
          <w:sz w:val="27"/>
          <w:szCs w:val="27"/>
        </w:rPr>
        <w:t xml:space="preserve"> triệu đồng.</w:t>
      </w:r>
    </w:p>
    <w:p w14:paraId="3028D617" w14:textId="52371CD8" w:rsidR="00293D69" w:rsidRPr="00620062" w:rsidRDefault="00293D69" w:rsidP="00293D69">
      <w:pPr>
        <w:pStyle w:val="ListParagraph"/>
        <w:widowControl w:val="0"/>
        <w:numPr>
          <w:ilvl w:val="4"/>
          <w:numId w:val="1"/>
        </w:numPr>
        <w:tabs>
          <w:tab w:val="clear" w:pos="1134"/>
          <w:tab w:val="num" w:pos="851"/>
        </w:tabs>
        <w:spacing w:before="60" w:after="60" w:line="264" w:lineRule="auto"/>
        <w:ind w:right="-57"/>
        <w:jc w:val="both"/>
        <w:rPr>
          <w:sz w:val="27"/>
          <w:szCs w:val="27"/>
        </w:rPr>
      </w:pPr>
      <w:r w:rsidRPr="00620062">
        <w:rPr>
          <w:sz w:val="27"/>
          <w:szCs w:val="27"/>
        </w:rPr>
        <w:t>Vốn</w:t>
      </w:r>
      <w:r>
        <w:rPr>
          <w:sz w:val="27"/>
          <w:szCs w:val="27"/>
        </w:rPr>
        <w:t xml:space="preserve"> đối ứng </w:t>
      </w:r>
      <w:r>
        <w:rPr>
          <w:sz w:val="27"/>
          <w:szCs w:val="27"/>
        </w:rPr>
        <w:t>ODA</w:t>
      </w:r>
      <w:r w:rsidRPr="00620062">
        <w:rPr>
          <w:sz w:val="27"/>
          <w:szCs w:val="27"/>
        </w:rPr>
        <w:t xml:space="preserve">: </w:t>
      </w:r>
      <w:r>
        <w:rPr>
          <w:sz w:val="27"/>
          <w:szCs w:val="27"/>
        </w:rPr>
        <w:t>17</w:t>
      </w:r>
      <w:r>
        <w:rPr>
          <w:sz w:val="27"/>
          <w:szCs w:val="27"/>
        </w:rPr>
        <w:t>1</w:t>
      </w:r>
      <w:r w:rsidRPr="00620062">
        <w:rPr>
          <w:sz w:val="27"/>
          <w:szCs w:val="27"/>
        </w:rPr>
        <w:t>.</w:t>
      </w:r>
      <w:r>
        <w:rPr>
          <w:sz w:val="27"/>
          <w:szCs w:val="27"/>
        </w:rPr>
        <w:t>821</w:t>
      </w:r>
      <w:r w:rsidRPr="00620062">
        <w:rPr>
          <w:sz w:val="27"/>
          <w:szCs w:val="27"/>
        </w:rPr>
        <w:t xml:space="preserve"> triệu đồng, trong đó: Thu hồi ứng trước </w:t>
      </w:r>
      <w:r>
        <w:rPr>
          <w:sz w:val="27"/>
          <w:szCs w:val="27"/>
        </w:rPr>
        <w:t>70</w:t>
      </w:r>
      <w:r w:rsidRPr="00620062">
        <w:rPr>
          <w:sz w:val="27"/>
          <w:szCs w:val="27"/>
        </w:rPr>
        <w:t>.</w:t>
      </w:r>
      <w:r>
        <w:rPr>
          <w:sz w:val="27"/>
          <w:szCs w:val="27"/>
        </w:rPr>
        <w:t>256</w:t>
      </w:r>
      <w:r w:rsidRPr="00620062">
        <w:rPr>
          <w:sz w:val="27"/>
          <w:szCs w:val="27"/>
        </w:rPr>
        <w:t xml:space="preserve"> triệu đồng.</w:t>
      </w:r>
    </w:p>
    <w:p w14:paraId="4B43629A" w14:textId="4A981353" w:rsidR="00F71D68" w:rsidRPr="00620062" w:rsidRDefault="00293D69" w:rsidP="006A16F5">
      <w:pPr>
        <w:keepNext/>
        <w:widowControl w:val="0"/>
        <w:spacing w:before="60" w:after="60" w:line="264" w:lineRule="auto"/>
        <w:ind w:firstLine="567"/>
        <w:jc w:val="center"/>
        <w:rPr>
          <w:bCs/>
          <w:i/>
          <w:sz w:val="27"/>
          <w:szCs w:val="27"/>
        </w:rPr>
      </w:pPr>
      <w:r w:rsidRPr="00620062">
        <w:rPr>
          <w:bCs/>
          <w:i/>
          <w:sz w:val="27"/>
          <w:szCs w:val="27"/>
        </w:rPr>
        <w:t xml:space="preserve"> </w:t>
      </w:r>
      <w:r w:rsidR="00F71D68" w:rsidRPr="00620062">
        <w:rPr>
          <w:bCs/>
          <w:i/>
          <w:sz w:val="27"/>
          <w:szCs w:val="27"/>
        </w:rPr>
        <w:t>(</w:t>
      </w:r>
      <w:r w:rsidR="00A72093" w:rsidRPr="00620062">
        <w:rPr>
          <w:bCs/>
          <w:i/>
          <w:sz w:val="27"/>
          <w:szCs w:val="27"/>
        </w:rPr>
        <w:t xml:space="preserve">Chi tiết có </w:t>
      </w:r>
      <w:r w:rsidR="00F71D68" w:rsidRPr="00620062">
        <w:rPr>
          <w:bCs/>
          <w:i/>
          <w:sz w:val="27"/>
          <w:szCs w:val="27"/>
        </w:rPr>
        <w:t xml:space="preserve">các </w:t>
      </w:r>
      <w:r w:rsidR="00A72093" w:rsidRPr="00620062">
        <w:rPr>
          <w:bCs/>
          <w:i/>
          <w:sz w:val="27"/>
          <w:szCs w:val="27"/>
        </w:rPr>
        <w:t>P</w:t>
      </w:r>
      <w:r w:rsidR="00F71D68" w:rsidRPr="00620062">
        <w:rPr>
          <w:bCs/>
          <w:i/>
          <w:sz w:val="27"/>
          <w:szCs w:val="27"/>
        </w:rPr>
        <w:t>hụ lục kèm theo)</w:t>
      </w:r>
    </w:p>
    <w:p w14:paraId="2B4BB599" w14:textId="74E180CC" w:rsidR="001D6D21" w:rsidRPr="00620062" w:rsidRDefault="009D06F5" w:rsidP="006A16F5">
      <w:pPr>
        <w:keepNext/>
        <w:widowControl w:val="0"/>
        <w:spacing w:before="60" w:after="60" w:line="264" w:lineRule="auto"/>
        <w:ind w:firstLine="567"/>
        <w:jc w:val="both"/>
        <w:rPr>
          <w:bCs/>
          <w:sz w:val="27"/>
          <w:szCs w:val="27"/>
        </w:rPr>
      </w:pPr>
      <w:r w:rsidRPr="00620062">
        <w:rPr>
          <w:bCs/>
          <w:sz w:val="27"/>
          <w:szCs w:val="27"/>
        </w:rPr>
        <w:t xml:space="preserve">Kính đề nghị </w:t>
      </w:r>
      <w:r w:rsidR="001D6D21" w:rsidRPr="00620062">
        <w:rPr>
          <w:bCs/>
          <w:sz w:val="27"/>
          <w:szCs w:val="27"/>
        </w:rPr>
        <w:t xml:space="preserve">Hội đồng nhân dân tỉnh thống nhất chủ trương </w:t>
      </w:r>
      <w:r w:rsidRPr="00620062">
        <w:rPr>
          <w:bCs/>
          <w:sz w:val="27"/>
          <w:szCs w:val="27"/>
        </w:rPr>
        <w:t xml:space="preserve">để </w:t>
      </w:r>
      <w:r w:rsidR="001D6D21" w:rsidRPr="00620062">
        <w:rPr>
          <w:bCs/>
          <w:sz w:val="27"/>
          <w:szCs w:val="27"/>
        </w:rPr>
        <w:t xml:space="preserve">gửi Bộ Kế hoạch và Đầu tư, </w:t>
      </w:r>
      <w:r w:rsidRPr="00620062">
        <w:rPr>
          <w:bCs/>
          <w:sz w:val="27"/>
          <w:szCs w:val="27"/>
        </w:rPr>
        <w:t>Bộ Tài chính theo đúng quy định. Sau khi Bộ Kế hoạch và Đầu tư có ý kiến thẩm định và thông báo dự kiến nguồn vốn ngân sách Trung ương hỗ trợ năm 2020,</w:t>
      </w:r>
      <w:r w:rsidR="001D6D21" w:rsidRPr="00620062">
        <w:rPr>
          <w:bCs/>
          <w:sz w:val="27"/>
          <w:szCs w:val="27"/>
        </w:rPr>
        <w:t xml:space="preserve"> UBND tỉnh sẽ báo cáo </w:t>
      </w:r>
      <w:r w:rsidRPr="00620062">
        <w:rPr>
          <w:bCs/>
          <w:sz w:val="27"/>
          <w:szCs w:val="27"/>
        </w:rPr>
        <w:t xml:space="preserve">HĐND tỉnh </w:t>
      </w:r>
      <w:r w:rsidR="006E1026" w:rsidRPr="00620062">
        <w:rPr>
          <w:bCs/>
          <w:sz w:val="27"/>
          <w:szCs w:val="27"/>
        </w:rPr>
        <w:t xml:space="preserve">thông qua </w:t>
      </w:r>
      <w:r w:rsidRPr="00620062">
        <w:rPr>
          <w:bCs/>
          <w:sz w:val="27"/>
          <w:szCs w:val="27"/>
        </w:rPr>
        <w:t xml:space="preserve">dự kiến phương án </w:t>
      </w:r>
      <w:r w:rsidR="001D6D21" w:rsidRPr="00620062">
        <w:rPr>
          <w:bCs/>
          <w:sz w:val="27"/>
          <w:szCs w:val="27"/>
        </w:rPr>
        <w:t xml:space="preserve">phân bổ </w:t>
      </w:r>
      <w:r w:rsidRPr="00620062">
        <w:rPr>
          <w:spacing w:val="-2"/>
          <w:sz w:val="27"/>
          <w:szCs w:val="27"/>
        </w:rPr>
        <w:t>Kế hoạch đầu tư công nguồn ngân sách Trung ương hỗ trợ năm 2020</w:t>
      </w:r>
      <w:r w:rsidRPr="00620062">
        <w:rPr>
          <w:bCs/>
          <w:sz w:val="27"/>
          <w:szCs w:val="27"/>
        </w:rPr>
        <w:t xml:space="preserve"> </w:t>
      </w:r>
      <w:r w:rsidR="00B95359" w:rsidRPr="00620062">
        <w:rPr>
          <w:bCs/>
          <w:sz w:val="27"/>
          <w:szCs w:val="27"/>
        </w:rPr>
        <w:t>(</w:t>
      </w:r>
      <w:r w:rsidR="001D6D21" w:rsidRPr="00620062">
        <w:rPr>
          <w:bCs/>
          <w:sz w:val="27"/>
          <w:szCs w:val="27"/>
        </w:rPr>
        <w:t xml:space="preserve">lần </w:t>
      </w:r>
      <w:r w:rsidRPr="00620062">
        <w:rPr>
          <w:bCs/>
          <w:sz w:val="27"/>
          <w:szCs w:val="27"/>
        </w:rPr>
        <w:t>thứ hai</w:t>
      </w:r>
      <w:r w:rsidR="00B95359" w:rsidRPr="00620062">
        <w:rPr>
          <w:bCs/>
          <w:sz w:val="27"/>
          <w:szCs w:val="27"/>
        </w:rPr>
        <w:t>)</w:t>
      </w:r>
      <w:r w:rsidR="001D6D21" w:rsidRPr="00620062">
        <w:rPr>
          <w:bCs/>
          <w:sz w:val="27"/>
          <w:szCs w:val="27"/>
        </w:rPr>
        <w:t xml:space="preserve"> </w:t>
      </w:r>
      <w:r w:rsidRPr="00620062">
        <w:rPr>
          <w:bCs/>
          <w:sz w:val="27"/>
          <w:szCs w:val="27"/>
        </w:rPr>
        <w:t>để gửi Bộ Kế hoạch và Đầu tư tổng hợp, trình Thủ tướng Chính phủ phê duyệt</w:t>
      </w:r>
      <w:r w:rsidR="001D6D21" w:rsidRPr="00620062">
        <w:rPr>
          <w:bCs/>
          <w:sz w:val="27"/>
          <w:szCs w:val="27"/>
        </w:rPr>
        <w:t>.</w:t>
      </w:r>
    </w:p>
    <w:p w14:paraId="4D92F1C6" w14:textId="196F05AA" w:rsidR="00FE0364" w:rsidRPr="00620062" w:rsidRDefault="00FE0364" w:rsidP="006A16F5">
      <w:pPr>
        <w:spacing w:before="60" w:after="120" w:line="264" w:lineRule="auto"/>
        <w:ind w:firstLine="567"/>
        <w:jc w:val="both"/>
        <w:rPr>
          <w:sz w:val="27"/>
          <w:szCs w:val="27"/>
          <w:lang w:val="pt-BR"/>
        </w:rPr>
      </w:pPr>
      <w:r w:rsidRPr="00620062">
        <w:rPr>
          <w:sz w:val="27"/>
          <w:szCs w:val="27"/>
          <w:lang w:val="pt-BR"/>
        </w:rPr>
        <w:t xml:space="preserve">Kính trình Hội đồng nhân dân tỉnh khoá XVII xem xét, </w:t>
      </w:r>
      <w:r w:rsidR="006E1026" w:rsidRPr="00620062">
        <w:rPr>
          <w:sz w:val="27"/>
          <w:szCs w:val="27"/>
          <w:lang w:val="pt-BR"/>
        </w:rPr>
        <w:t>cho ý kiến</w:t>
      </w:r>
      <w:r w:rsidRPr="00620062">
        <w:rPr>
          <w:sz w:val="27"/>
          <w:szCs w:val="27"/>
          <w:lang w:val="pt-BR"/>
        </w:rPr>
        <w:t>./.</w:t>
      </w:r>
    </w:p>
    <w:tbl>
      <w:tblPr>
        <w:tblW w:w="5000" w:type="pct"/>
        <w:tblLook w:val="01E0" w:firstRow="1" w:lastRow="1" w:firstColumn="1" w:lastColumn="1" w:noHBand="0" w:noVBand="0"/>
      </w:tblPr>
      <w:tblGrid>
        <w:gridCol w:w="5216"/>
        <w:gridCol w:w="4185"/>
      </w:tblGrid>
      <w:tr w:rsidR="00803C19" w:rsidRPr="002311D9" w14:paraId="3CAE2718" w14:textId="77777777" w:rsidTr="006D703B">
        <w:tc>
          <w:tcPr>
            <w:tcW w:w="5153" w:type="dxa"/>
          </w:tcPr>
          <w:p w14:paraId="19521DB6" w14:textId="77777777" w:rsidR="00803C19" w:rsidRPr="002311D9" w:rsidRDefault="00803C19" w:rsidP="006D703B">
            <w:pPr>
              <w:jc w:val="both"/>
              <w:rPr>
                <w:i/>
                <w:iCs/>
                <w:sz w:val="20"/>
                <w:szCs w:val="20"/>
                <w:lang w:val="pt-BR"/>
              </w:rPr>
            </w:pPr>
            <w:r w:rsidRPr="002311D9">
              <w:rPr>
                <w:spacing w:val="-2"/>
                <w:sz w:val="20"/>
                <w:szCs w:val="20"/>
                <w:lang w:val="pt-BR"/>
              </w:rPr>
              <w:br w:type="page"/>
            </w:r>
            <w:r w:rsidRPr="002311D9">
              <w:rPr>
                <w:b/>
                <w:bCs/>
                <w:i/>
                <w:iCs/>
                <w:sz w:val="20"/>
                <w:szCs w:val="20"/>
                <w:lang w:val="pt-BR"/>
              </w:rPr>
              <w:t>Nơi nhận:</w:t>
            </w:r>
          </w:p>
          <w:p w14:paraId="7E4A8E5A" w14:textId="77777777" w:rsidR="00803C19" w:rsidRPr="002311D9" w:rsidRDefault="00803C19" w:rsidP="002950AD">
            <w:pPr>
              <w:numPr>
                <w:ilvl w:val="0"/>
                <w:numId w:val="2"/>
              </w:numPr>
              <w:tabs>
                <w:tab w:val="clear" w:pos="284"/>
                <w:tab w:val="left" w:pos="142"/>
              </w:tabs>
              <w:ind w:left="0" w:firstLine="0"/>
              <w:jc w:val="both"/>
              <w:rPr>
                <w:sz w:val="20"/>
                <w:szCs w:val="20"/>
                <w:lang w:val="pt-BR"/>
              </w:rPr>
            </w:pPr>
            <w:r w:rsidRPr="002311D9">
              <w:rPr>
                <w:sz w:val="20"/>
                <w:szCs w:val="20"/>
                <w:lang w:val="pt-BR"/>
              </w:rPr>
              <w:t>Như trên;</w:t>
            </w:r>
          </w:p>
          <w:p w14:paraId="0D441E97" w14:textId="77777777" w:rsidR="00803C19" w:rsidRPr="002311D9" w:rsidRDefault="00803C19" w:rsidP="002950AD">
            <w:pPr>
              <w:numPr>
                <w:ilvl w:val="0"/>
                <w:numId w:val="2"/>
              </w:numPr>
              <w:tabs>
                <w:tab w:val="clear" w:pos="284"/>
                <w:tab w:val="left" w:pos="142"/>
              </w:tabs>
              <w:ind w:left="0" w:firstLine="0"/>
              <w:jc w:val="both"/>
              <w:rPr>
                <w:sz w:val="20"/>
                <w:szCs w:val="20"/>
                <w:lang w:val="pt-BR"/>
              </w:rPr>
            </w:pPr>
            <w:r w:rsidRPr="002311D9">
              <w:rPr>
                <w:sz w:val="20"/>
                <w:szCs w:val="20"/>
                <w:lang w:val="pt-BR"/>
              </w:rPr>
              <w:t xml:space="preserve">CT, các PCT UBND tỉnh; </w:t>
            </w:r>
          </w:p>
          <w:p w14:paraId="09563F21" w14:textId="77777777" w:rsidR="00803C19" w:rsidRPr="00177617" w:rsidRDefault="00803C19" w:rsidP="002950AD">
            <w:pPr>
              <w:numPr>
                <w:ilvl w:val="0"/>
                <w:numId w:val="2"/>
              </w:numPr>
              <w:tabs>
                <w:tab w:val="clear" w:pos="284"/>
                <w:tab w:val="left" w:pos="142"/>
              </w:tabs>
              <w:ind w:left="0" w:firstLine="0"/>
              <w:jc w:val="both"/>
              <w:rPr>
                <w:sz w:val="20"/>
                <w:szCs w:val="20"/>
                <w:lang w:val="pt-BR"/>
              </w:rPr>
            </w:pPr>
            <w:r w:rsidRPr="002311D9">
              <w:rPr>
                <w:sz w:val="20"/>
                <w:szCs w:val="20"/>
                <w:lang w:val="pt-BR"/>
              </w:rPr>
              <w:t xml:space="preserve">Các đại biểu </w:t>
            </w:r>
            <w:r w:rsidRPr="00177617">
              <w:rPr>
                <w:sz w:val="20"/>
                <w:szCs w:val="20"/>
                <w:lang w:val="pt-BR"/>
              </w:rPr>
              <w:t>HĐND tỉnh;</w:t>
            </w:r>
          </w:p>
          <w:p w14:paraId="4CC09846" w14:textId="77777777" w:rsidR="00803C19" w:rsidRPr="00177617" w:rsidRDefault="00803C19" w:rsidP="002950AD">
            <w:pPr>
              <w:numPr>
                <w:ilvl w:val="0"/>
                <w:numId w:val="2"/>
              </w:numPr>
              <w:tabs>
                <w:tab w:val="clear" w:pos="284"/>
                <w:tab w:val="left" w:pos="142"/>
              </w:tabs>
              <w:ind w:left="0" w:firstLine="0"/>
              <w:jc w:val="both"/>
              <w:rPr>
                <w:sz w:val="20"/>
                <w:szCs w:val="20"/>
                <w:lang w:val="pt-BR"/>
              </w:rPr>
            </w:pPr>
            <w:r w:rsidRPr="00177617">
              <w:rPr>
                <w:sz w:val="20"/>
                <w:szCs w:val="20"/>
                <w:lang w:val="pt-BR"/>
              </w:rPr>
              <w:t>Lãnh đạo VP UBND tỉnh;</w:t>
            </w:r>
          </w:p>
          <w:p w14:paraId="139E939E" w14:textId="77777777" w:rsidR="00803C19" w:rsidRPr="002311D9" w:rsidRDefault="00803C19" w:rsidP="002950AD">
            <w:pPr>
              <w:numPr>
                <w:ilvl w:val="0"/>
                <w:numId w:val="2"/>
              </w:numPr>
              <w:tabs>
                <w:tab w:val="clear" w:pos="284"/>
                <w:tab w:val="left" w:pos="142"/>
              </w:tabs>
              <w:ind w:left="0" w:firstLine="0"/>
              <w:jc w:val="both"/>
              <w:rPr>
                <w:sz w:val="20"/>
                <w:szCs w:val="20"/>
              </w:rPr>
            </w:pPr>
            <w:r w:rsidRPr="002311D9">
              <w:rPr>
                <w:sz w:val="20"/>
                <w:szCs w:val="20"/>
              </w:rPr>
              <w:t>Lưu: VT, KTTH.</w:t>
            </w:r>
          </w:p>
        </w:tc>
        <w:tc>
          <w:tcPr>
            <w:tcW w:w="4135" w:type="dxa"/>
          </w:tcPr>
          <w:p w14:paraId="4591D43D" w14:textId="77777777" w:rsidR="006D703B" w:rsidRPr="00620062" w:rsidRDefault="00803C19" w:rsidP="006D703B">
            <w:pPr>
              <w:jc w:val="center"/>
              <w:rPr>
                <w:b/>
                <w:bCs/>
                <w:szCs w:val="28"/>
              </w:rPr>
            </w:pPr>
            <w:r w:rsidRPr="00620062">
              <w:rPr>
                <w:b/>
                <w:bCs/>
                <w:szCs w:val="28"/>
              </w:rPr>
              <w:t>TM. ỦY BAN NHÂN DÂN</w:t>
            </w:r>
          </w:p>
          <w:p w14:paraId="0687F8B6" w14:textId="77777777" w:rsidR="00803C19" w:rsidRPr="00620062" w:rsidRDefault="00953505" w:rsidP="006D703B">
            <w:pPr>
              <w:jc w:val="center"/>
              <w:rPr>
                <w:b/>
                <w:bCs/>
                <w:szCs w:val="28"/>
              </w:rPr>
            </w:pPr>
            <w:r w:rsidRPr="00620062">
              <w:rPr>
                <w:b/>
                <w:bCs/>
                <w:szCs w:val="28"/>
              </w:rPr>
              <w:t xml:space="preserve">KT. </w:t>
            </w:r>
            <w:r w:rsidR="00803C19" w:rsidRPr="00620062">
              <w:rPr>
                <w:b/>
                <w:bCs/>
                <w:szCs w:val="28"/>
              </w:rPr>
              <w:t>CHỦ TỊCH</w:t>
            </w:r>
          </w:p>
          <w:p w14:paraId="295D1BB6" w14:textId="77777777" w:rsidR="00953505" w:rsidRPr="00620062" w:rsidRDefault="00953505" w:rsidP="006D703B">
            <w:pPr>
              <w:jc w:val="center"/>
              <w:rPr>
                <w:szCs w:val="28"/>
              </w:rPr>
            </w:pPr>
            <w:r w:rsidRPr="00620062">
              <w:rPr>
                <w:b/>
                <w:bCs/>
                <w:szCs w:val="28"/>
              </w:rPr>
              <w:t>PHÓ CHỦ TỊCH</w:t>
            </w:r>
          </w:p>
          <w:p w14:paraId="38439EF1" w14:textId="77777777" w:rsidR="00953505" w:rsidRDefault="00953505" w:rsidP="00632941">
            <w:pPr>
              <w:spacing w:before="120" w:after="120"/>
              <w:jc w:val="center"/>
              <w:rPr>
                <w:sz w:val="27"/>
                <w:szCs w:val="27"/>
              </w:rPr>
            </w:pPr>
          </w:p>
          <w:p w14:paraId="1535669C" w14:textId="63735388" w:rsidR="00953505" w:rsidRPr="00953505" w:rsidRDefault="00953505" w:rsidP="00632941">
            <w:pPr>
              <w:spacing w:before="120" w:after="120"/>
              <w:jc w:val="center"/>
              <w:rPr>
                <w:b/>
                <w:sz w:val="27"/>
                <w:szCs w:val="27"/>
              </w:rPr>
            </w:pPr>
          </w:p>
        </w:tc>
      </w:tr>
    </w:tbl>
    <w:p w14:paraId="001E94F2" w14:textId="77777777" w:rsidR="007E7BC9" w:rsidRPr="002311D9" w:rsidRDefault="007E7BC9" w:rsidP="00405296">
      <w:pPr>
        <w:spacing w:before="120" w:after="120"/>
        <w:rPr>
          <w:b/>
          <w:sz w:val="27"/>
          <w:szCs w:val="27"/>
          <w:lang w:val="vi-VN"/>
        </w:rPr>
      </w:pPr>
    </w:p>
    <w:sectPr w:rsidR="007E7BC9" w:rsidRPr="002311D9" w:rsidSect="00472F05">
      <w:footerReference w:type="even" r:id="rId11"/>
      <w:footerReference w:type="default" r:id="rId12"/>
      <w:pgSz w:w="11907" w:h="16840" w:code="9"/>
      <w:pgMar w:top="964" w:right="1021" w:bottom="964" w:left="1701" w:header="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84DB" w14:textId="77777777" w:rsidR="00726B1E" w:rsidRDefault="00726B1E">
      <w:r>
        <w:separator/>
      </w:r>
    </w:p>
  </w:endnote>
  <w:endnote w:type="continuationSeparator" w:id="0">
    <w:p w14:paraId="78645F46" w14:textId="77777777" w:rsidR="00726B1E" w:rsidRDefault="0072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B00B4B" w:rsidRDefault="00B00B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B00B4B" w:rsidRDefault="00B00B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028D590A" w:rsidR="00B00B4B" w:rsidRPr="00803C19" w:rsidRDefault="00B00B4B" w:rsidP="00803C19">
    <w:pPr>
      <w:pStyle w:val="Footer"/>
      <w:jc w:val="center"/>
      <w:rPr>
        <w:rFonts w:ascii="Times New Roman" w:hAnsi="Times New Roman"/>
        <w:sz w:val="27"/>
        <w:szCs w:val="27"/>
      </w:rPr>
    </w:pPr>
    <w:r w:rsidRPr="00803C19">
      <w:rPr>
        <w:rFonts w:ascii="Times New Roman" w:hAnsi="Times New Roman"/>
        <w:sz w:val="27"/>
        <w:szCs w:val="27"/>
      </w:rPr>
      <w:fldChar w:fldCharType="begin"/>
    </w:r>
    <w:r w:rsidRPr="00803C19">
      <w:rPr>
        <w:rStyle w:val="PageNumber"/>
        <w:rFonts w:ascii="Times New Roman" w:hAnsi="Times New Roman"/>
        <w:sz w:val="27"/>
        <w:szCs w:val="27"/>
      </w:rPr>
      <w:instrText xml:space="preserve">PAGE  </w:instrText>
    </w:r>
    <w:r w:rsidRPr="00803C19">
      <w:rPr>
        <w:rFonts w:ascii="Times New Roman" w:hAnsi="Times New Roman"/>
        <w:sz w:val="27"/>
        <w:szCs w:val="27"/>
      </w:rPr>
      <w:fldChar w:fldCharType="separate"/>
    </w:r>
    <w:r w:rsidR="006A280B">
      <w:rPr>
        <w:rStyle w:val="PageNumber"/>
        <w:rFonts w:ascii="Times New Roman" w:hAnsi="Times New Roman"/>
        <w:noProof/>
        <w:sz w:val="27"/>
        <w:szCs w:val="27"/>
      </w:rPr>
      <w:t>3</w:t>
    </w:r>
    <w:r w:rsidRPr="00803C19">
      <w:rPr>
        <w:rFonts w:ascii="Times New Roman" w:hAnsi="Times New Roman"/>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EA497" w14:textId="77777777" w:rsidR="00726B1E" w:rsidRDefault="00726B1E">
      <w:r>
        <w:separator/>
      </w:r>
    </w:p>
  </w:footnote>
  <w:footnote w:type="continuationSeparator" w:id="0">
    <w:p w14:paraId="4E339EAE" w14:textId="77777777" w:rsidR="00726B1E" w:rsidRDefault="00726B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A2A95"/>
    <w:multiLevelType w:val="hybridMultilevel"/>
    <w:tmpl w:val="04F22AF8"/>
    <w:lvl w:ilvl="0" w:tplc="0C6CC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9B318B"/>
    <w:multiLevelType w:val="multilevel"/>
    <w:tmpl w:val="3A40047C"/>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68F37DB1"/>
    <w:multiLevelType w:val="hybridMultilevel"/>
    <w:tmpl w:val="AB823D72"/>
    <w:lvl w:ilvl="0" w:tplc="FF88C52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1"/>
    <w:rsid w:val="0000350D"/>
    <w:rsid w:val="00006B06"/>
    <w:rsid w:val="00006B4C"/>
    <w:rsid w:val="00007DFC"/>
    <w:rsid w:val="000130F8"/>
    <w:rsid w:val="00015F1D"/>
    <w:rsid w:val="00016DDB"/>
    <w:rsid w:val="00016E1A"/>
    <w:rsid w:val="000175DF"/>
    <w:rsid w:val="00021534"/>
    <w:rsid w:val="00021793"/>
    <w:rsid w:val="000220C5"/>
    <w:rsid w:val="00026D4C"/>
    <w:rsid w:val="00030C28"/>
    <w:rsid w:val="00031E15"/>
    <w:rsid w:val="00032436"/>
    <w:rsid w:val="00036CEE"/>
    <w:rsid w:val="0004163B"/>
    <w:rsid w:val="00050EC2"/>
    <w:rsid w:val="00056A79"/>
    <w:rsid w:val="00062AB4"/>
    <w:rsid w:val="0006618D"/>
    <w:rsid w:val="00066C79"/>
    <w:rsid w:val="000702CF"/>
    <w:rsid w:val="00074EC6"/>
    <w:rsid w:val="00074FBA"/>
    <w:rsid w:val="00076724"/>
    <w:rsid w:val="0008318B"/>
    <w:rsid w:val="00084CF8"/>
    <w:rsid w:val="000855DE"/>
    <w:rsid w:val="0008597F"/>
    <w:rsid w:val="00095C08"/>
    <w:rsid w:val="00097B44"/>
    <w:rsid w:val="000A1A41"/>
    <w:rsid w:val="000A1A58"/>
    <w:rsid w:val="000A4D54"/>
    <w:rsid w:val="000A7239"/>
    <w:rsid w:val="000B1F6A"/>
    <w:rsid w:val="000B365F"/>
    <w:rsid w:val="000B3E3D"/>
    <w:rsid w:val="000B533E"/>
    <w:rsid w:val="000B56B1"/>
    <w:rsid w:val="000B61E7"/>
    <w:rsid w:val="000B7709"/>
    <w:rsid w:val="000B7892"/>
    <w:rsid w:val="000C18EA"/>
    <w:rsid w:val="000C5F0B"/>
    <w:rsid w:val="000D2A86"/>
    <w:rsid w:val="000D581E"/>
    <w:rsid w:val="000E296A"/>
    <w:rsid w:val="000E2B3B"/>
    <w:rsid w:val="000E3CF2"/>
    <w:rsid w:val="000E60FA"/>
    <w:rsid w:val="000E7EDA"/>
    <w:rsid w:val="000F2E73"/>
    <w:rsid w:val="000F550B"/>
    <w:rsid w:val="00100077"/>
    <w:rsid w:val="00102354"/>
    <w:rsid w:val="00102BE6"/>
    <w:rsid w:val="00105C4B"/>
    <w:rsid w:val="001066FE"/>
    <w:rsid w:val="001075DA"/>
    <w:rsid w:val="00111CE6"/>
    <w:rsid w:val="001147F2"/>
    <w:rsid w:val="00120409"/>
    <w:rsid w:val="001217D9"/>
    <w:rsid w:val="001270CF"/>
    <w:rsid w:val="0013035F"/>
    <w:rsid w:val="001528C4"/>
    <w:rsid w:val="0015371E"/>
    <w:rsid w:val="00154B1A"/>
    <w:rsid w:val="001623D3"/>
    <w:rsid w:val="00165F80"/>
    <w:rsid w:val="001666EB"/>
    <w:rsid w:val="00172A27"/>
    <w:rsid w:val="00175ED7"/>
    <w:rsid w:val="00177617"/>
    <w:rsid w:val="00184B97"/>
    <w:rsid w:val="001961B3"/>
    <w:rsid w:val="00196241"/>
    <w:rsid w:val="00197ECA"/>
    <w:rsid w:val="001A5DF6"/>
    <w:rsid w:val="001A7943"/>
    <w:rsid w:val="001B53B6"/>
    <w:rsid w:val="001C1E2A"/>
    <w:rsid w:val="001D0478"/>
    <w:rsid w:val="001D141C"/>
    <w:rsid w:val="001D6D21"/>
    <w:rsid w:val="001E2A25"/>
    <w:rsid w:val="001E60A1"/>
    <w:rsid w:val="001F5095"/>
    <w:rsid w:val="002012B4"/>
    <w:rsid w:val="002050F4"/>
    <w:rsid w:val="002133ED"/>
    <w:rsid w:val="0021542B"/>
    <w:rsid w:val="00222737"/>
    <w:rsid w:val="00227CBF"/>
    <w:rsid w:val="00230DB2"/>
    <w:rsid w:val="002311D9"/>
    <w:rsid w:val="00234C4F"/>
    <w:rsid w:val="00237BAF"/>
    <w:rsid w:val="00243399"/>
    <w:rsid w:val="002544E7"/>
    <w:rsid w:val="00260001"/>
    <w:rsid w:val="002602CF"/>
    <w:rsid w:val="00262D79"/>
    <w:rsid w:val="00266BC9"/>
    <w:rsid w:val="00284070"/>
    <w:rsid w:val="0028798B"/>
    <w:rsid w:val="00293D69"/>
    <w:rsid w:val="00294114"/>
    <w:rsid w:val="002950AD"/>
    <w:rsid w:val="002A0D99"/>
    <w:rsid w:val="002B0792"/>
    <w:rsid w:val="002B1B5C"/>
    <w:rsid w:val="002C30F1"/>
    <w:rsid w:val="002C47AF"/>
    <w:rsid w:val="002C647D"/>
    <w:rsid w:val="002C6BE4"/>
    <w:rsid w:val="002D1BBF"/>
    <w:rsid w:val="002D22C4"/>
    <w:rsid w:val="002D60CE"/>
    <w:rsid w:val="002E5A2B"/>
    <w:rsid w:val="002E7E6F"/>
    <w:rsid w:val="002F06A6"/>
    <w:rsid w:val="002F3205"/>
    <w:rsid w:val="002F68B3"/>
    <w:rsid w:val="002F7787"/>
    <w:rsid w:val="003142E4"/>
    <w:rsid w:val="00315A1C"/>
    <w:rsid w:val="00323CEF"/>
    <w:rsid w:val="003250C7"/>
    <w:rsid w:val="00326749"/>
    <w:rsid w:val="00327880"/>
    <w:rsid w:val="00334491"/>
    <w:rsid w:val="00334765"/>
    <w:rsid w:val="00337C3A"/>
    <w:rsid w:val="0034536F"/>
    <w:rsid w:val="00352CF9"/>
    <w:rsid w:val="00355339"/>
    <w:rsid w:val="00357CE6"/>
    <w:rsid w:val="00364E98"/>
    <w:rsid w:val="003815ED"/>
    <w:rsid w:val="00382EF9"/>
    <w:rsid w:val="00386741"/>
    <w:rsid w:val="00393522"/>
    <w:rsid w:val="003A1730"/>
    <w:rsid w:val="003B2685"/>
    <w:rsid w:val="003C12D5"/>
    <w:rsid w:val="003C4FC7"/>
    <w:rsid w:val="003C69ED"/>
    <w:rsid w:val="003D0F6F"/>
    <w:rsid w:val="003D52D7"/>
    <w:rsid w:val="003D5B12"/>
    <w:rsid w:val="003D6BE3"/>
    <w:rsid w:val="003D78E7"/>
    <w:rsid w:val="003D7B7E"/>
    <w:rsid w:val="003E7D83"/>
    <w:rsid w:val="003F4BF1"/>
    <w:rsid w:val="003F5F80"/>
    <w:rsid w:val="003F61B7"/>
    <w:rsid w:val="004021A6"/>
    <w:rsid w:val="00403EEB"/>
    <w:rsid w:val="00405296"/>
    <w:rsid w:val="00411AE2"/>
    <w:rsid w:val="004132E7"/>
    <w:rsid w:val="004137B9"/>
    <w:rsid w:val="00414DBE"/>
    <w:rsid w:val="004150A1"/>
    <w:rsid w:val="00417103"/>
    <w:rsid w:val="004258E8"/>
    <w:rsid w:val="004270D6"/>
    <w:rsid w:val="00430E89"/>
    <w:rsid w:val="004334B9"/>
    <w:rsid w:val="004337C5"/>
    <w:rsid w:val="0043452C"/>
    <w:rsid w:val="004362AD"/>
    <w:rsid w:val="00440458"/>
    <w:rsid w:val="00441760"/>
    <w:rsid w:val="004567AF"/>
    <w:rsid w:val="00466F89"/>
    <w:rsid w:val="00472F05"/>
    <w:rsid w:val="00474367"/>
    <w:rsid w:val="00481C02"/>
    <w:rsid w:val="00481FDC"/>
    <w:rsid w:val="004837C6"/>
    <w:rsid w:val="00484E9C"/>
    <w:rsid w:val="004926E4"/>
    <w:rsid w:val="004A2AC8"/>
    <w:rsid w:val="004A3298"/>
    <w:rsid w:val="004A45FE"/>
    <w:rsid w:val="004A5146"/>
    <w:rsid w:val="004A79CA"/>
    <w:rsid w:val="004B07DA"/>
    <w:rsid w:val="004B461F"/>
    <w:rsid w:val="004B66F6"/>
    <w:rsid w:val="004C0520"/>
    <w:rsid w:val="004C2B37"/>
    <w:rsid w:val="004C3F8A"/>
    <w:rsid w:val="004C4EBD"/>
    <w:rsid w:val="004C7ADF"/>
    <w:rsid w:val="004D0A46"/>
    <w:rsid w:val="004D3424"/>
    <w:rsid w:val="004E4248"/>
    <w:rsid w:val="004F4855"/>
    <w:rsid w:val="004F62BB"/>
    <w:rsid w:val="00502FE1"/>
    <w:rsid w:val="00506BA1"/>
    <w:rsid w:val="00513057"/>
    <w:rsid w:val="005344BD"/>
    <w:rsid w:val="005419F1"/>
    <w:rsid w:val="005422B4"/>
    <w:rsid w:val="005432B0"/>
    <w:rsid w:val="00544813"/>
    <w:rsid w:val="00550476"/>
    <w:rsid w:val="005504C6"/>
    <w:rsid w:val="00561271"/>
    <w:rsid w:val="005715FA"/>
    <w:rsid w:val="0057788A"/>
    <w:rsid w:val="00582041"/>
    <w:rsid w:val="00584750"/>
    <w:rsid w:val="00590282"/>
    <w:rsid w:val="00593FCB"/>
    <w:rsid w:val="0059553D"/>
    <w:rsid w:val="005A1372"/>
    <w:rsid w:val="005A216D"/>
    <w:rsid w:val="005B216A"/>
    <w:rsid w:val="005C0608"/>
    <w:rsid w:val="005C132B"/>
    <w:rsid w:val="005C2843"/>
    <w:rsid w:val="005C3F0D"/>
    <w:rsid w:val="005C42A8"/>
    <w:rsid w:val="005C5A05"/>
    <w:rsid w:val="005D67DC"/>
    <w:rsid w:val="005E616D"/>
    <w:rsid w:val="005F0CA4"/>
    <w:rsid w:val="00601ADC"/>
    <w:rsid w:val="00604327"/>
    <w:rsid w:val="0061136F"/>
    <w:rsid w:val="00613F3B"/>
    <w:rsid w:val="00615BE7"/>
    <w:rsid w:val="00620062"/>
    <w:rsid w:val="00622C92"/>
    <w:rsid w:val="006235B7"/>
    <w:rsid w:val="00623709"/>
    <w:rsid w:val="00632941"/>
    <w:rsid w:val="0063348C"/>
    <w:rsid w:val="00637B89"/>
    <w:rsid w:val="00640C41"/>
    <w:rsid w:val="00645314"/>
    <w:rsid w:val="00645C0A"/>
    <w:rsid w:val="00646E11"/>
    <w:rsid w:val="006522DE"/>
    <w:rsid w:val="00655963"/>
    <w:rsid w:val="00660536"/>
    <w:rsid w:val="00661A1A"/>
    <w:rsid w:val="00662E05"/>
    <w:rsid w:val="006648CC"/>
    <w:rsid w:val="006670D8"/>
    <w:rsid w:val="006729EE"/>
    <w:rsid w:val="00673F04"/>
    <w:rsid w:val="0068030A"/>
    <w:rsid w:val="00695C47"/>
    <w:rsid w:val="006A16F5"/>
    <w:rsid w:val="006A24B3"/>
    <w:rsid w:val="006A280B"/>
    <w:rsid w:val="006A3801"/>
    <w:rsid w:val="006A4E6D"/>
    <w:rsid w:val="006A5A69"/>
    <w:rsid w:val="006A6615"/>
    <w:rsid w:val="006A750E"/>
    <w:rsid w:val="006A7C65"/>
    <w:rsid w:val="006B08E1"/>
    <w:rsid w:val="006B4AA0"/>
    <w:rsid w:val="006B500E"/>
    <w:rsid w:val="006B55EA"/>
    <w:rsid w:val="006B7B11"/>
    <w:rsid w:val="006C4C30"/>
    <w:rsid w:val="006D4903"/>
    <w:rsid w:val="006D6929"/>
    <w:rsid w:val="006D703B"/>
    <w:rsid w:val="006E1026"/>
    <w:rsid w:val="006E5D75"/>
    <w:rsid w:val="006E7ABE"/>
    <w:rsid w:val="006F4DC5"/>
    <w:rsid w:val="0070276C"/>
    <w:rsid w:val="00710602"/>
    <w:rsid w:val="00710C81"/>
    <w:rsid w:val="00713A0D"/>
    <w:rsid w:val="00715AB4"/>
    <w:rsid w:val="00716DD8"/>
    <w:rsid w:val="00720228"/>
    <w:rsid w:val="007205AB"/>
    <w:rsid w:val="0072238E"/>
    <w:rsid w:val="00724C02"/>
    <w:rsid w:val="007261BF"/>
    <w:rsid w:val="00726B1E"/>
    <w:rsid w:val="007274B8"/>
    <w:rsid w:val="00730C4B"/>
    <w:rsid w:val="0073141F"/>
    <w:rsid w:val="00731D87"/>
    <w:rsid w:val="0073213F"/>
    <w:rsid w:val="0073588C"/>
    <w:rsid w:val="007415D3"/>
    <w:rsid w:val="00745910"/>
    <w:rsid w:val="00754F2B"/>
    <w:rsid w:val="00761050"/>
    <w:rsid w:val="00766392"/>
    <w:rsid w:val="00773B14"/>
    <w:rsid w:val="00775003"/>
    <w:rsid w:val="00776CC4"/>
    <w:rsid w:val="0078197B"/>
    <w:rsid w:val="00785288"/>
    <w:rsid w:val="00790FFC"/>
    <w:rsid w:val="00791A5D"/>
    <w:rsid w:val="007976E1"/>
    <w:rsid w:val="007B0A80"/>
    <w:rsid w:val="007B45F3"/>
    <w:rsid w:val="007B51CB"/>
    <w:rsid w:val="007B6860"/>
    <w:rsid w:val="007C1AD0"/>
    <w:rsid w:val="007C1B3C"/>
    <w:rsid w:val="007C3057"/>
    <w:rsid w:val="007C368A"/>
    <w:rsid w:val="007C5E39"/>
    <w:rsid w:val="007C6118"/>
    <w:rsid w:val="007C6A9A"/>
    <w:rsid w:val="007C77F0"/>
    <w:rsid w:val="007D010F"/>
    <w:rsid w:val="007D3BDC"/>
    <w:rsid w:val="007D55A8"/>
    <w:rsid w:val="007E1020"/>
    <w:rsid w:val="007E29C8"/>
    <w:rsid w:val="007E4B4B"/>
    <w:rsid w:val="007E7BC9"/>
    <w:rsid w:val="007F43DD"/>
    <w:rsid w:val="00803481"/>
    <w:rsid w:val="008037A1"/>
    <w:rsid w:val="00803C19"/>
    <w:rsid w:val="00804B52"/>
    <w:rsid w:val="008215E4"/>
    <w:rsid w:val="00822BF5"/>
    <w:rsid w:val="00824A9F"/>
    <w:rsid w:val="00826C97"/>
    <w:rsid w:val="00830C1F"/>
    <w:rsid w:val="008325C4"/>
    <w:rsid w:val="00833939"/>
    <w:rsid w:val="00833FFE"/>
    <w:rsid w:val="00835B94"/>
    <w:rsid w:val="008408F9"/>
    <w:rsid w:val="00845E21"/>
    <w:rsid w:val="00850455"/>
    <w:rsid w:val="00853113"/>
    <w:rsid w:val="0086116D"/>
    <w:rsid w:val="0086581A"/>
    <w:rsid w:val="00865DEC"/>
    <w:rsid w:val="00870110"/>
    <w:rsid w:val="00871633"/>
    <w:rsid w:val="00873476"/>
    <w:rsid w:val="0087362F"/>
    <w:rsid w:val="00875EA0"/>
    <w:rsid w:val="00880EFC"/>
    <w:rsid w:val="0088251C"/>
    <w:rsid w:val="008923EB"/>
    <w:rsid w:val="00893D13"/>
    <w:rsid w:val="008A1266"/>
    <w:rsid w:val="008B085C"/>
    <w:rsid w:val="008B3FB4"/>
    <w:rsid w:val="008B74E5"/>
    <w:rsid w:val="008C0716"/>
    <w:rsid w:val="008C0B88"/>
    <w:rsid w:val="008C1E23"/>
    <w:rsid w:val="008C2109"/>
    <w:rsid w:val="008D023A"/>
    <w:rsid w:val="008D1091"/>
    <w:rsid w:val="008D72C2"/>
    <w:rsid w:val="008E3E90"/>
    <w:rsid w:val="008E63E6"/>
    <w:rsid w:val="008F02C5"/>
    <w:rsid w:val="008F21A4"/>
    <w:rsid w:val="008F7DE0"/>
    <w:rsid w:val="00904855"/>
    <w:rsid w:val="00921A79"/>
    <w:rsid w:val="00921FB7"/>
    <w:rsid w:val="0093402A"/>
    <w:rsid w:val="00935FF2"/>
    <w:rsid w:val="00944DA1"/>
    <w:rsid w:val="00953505"/>
    <w:rsid w:val="00957823"/>
    <w:rsid w:val="00961BEF"/>
    <w:rsid w:val="009652F5"/>
    <w:rsid w:val="00965629"/>
    <w:rsid w:val="00967EBC"/>
    <w:rsid w:val="00970988"/>
    <w:rsid w:val="00970DF9"/>
    <w:rsid w:val="0097458A"/>
    <w:rsid w:val="00981AF0"/>
    <w:rsid w:val="00986E56"/>
    <w:rsid w:val="009870AF"/>
    <w:rsid w:val="0099665E"/>
    <w:rsid w:val="009A3E3A"/>
    <w:rsid w:val="009A5271"/>
    <w:rsid w:val="009A545C"/>
    <w:rsid w:val="009B0F08"/>
    <w:rsid w:val="009B6359"/>
    <w:rsid w:val="009C116F"/>
    <w:rsid w:val="009C36A4"/>
    <w:rsid w:val="009C3D86"/>
    <w:rsid w:val="009C4AC4"/>
    <w:rsid w:val="009C4B1E"/>
    <w:rsid w:val="009C4EAB"/>
    <w:rsid w:val="009D06F5"/>
    <w:rsid w:val="009D3293"/>
    <w:rsid w:val="009D6EE8"/>
    <w:rsid w:val="009E085E"/>
    <w:rsid w:val="009E0B04"/>
    <w:rsid w:val="009E1207"/>
    <w:rsid w:val="009E208E"/>
    <w:rsid w:val="009E4DA9"/>
    <w:rsid w:val="009E509F"/>
    <w:rsid w:val="009F0A96"/>
    <w:rsid w:val="009F3DC6"/>
    <w:rsid w:val="009F788A"/>
    <w:rsid w:val="009F7F7E"/>
    <w:rsid w:val="00A0040F"/>
    <w:rsid w:val="00A07A25"/>
    <w:rsid w:val="00A11439"/>
    <w:rsid w:val="00A16002"/>
    <w:rsid w:val="00A23DE6"/>
    <w:rsid w:val="00A3236A"/>
    <w:rsid w:val="00A400A7"/>
    <w:rsid w:val="00A40983"/>
    <w:rsid w:val="00A40A8C"/>
    <w:rsid w:val="00A420B0"/>
    <w:rsid w:val="00A441B9"/>
    <w:rsid w:val="00A44700"/>
    <w:rsid w:val="00A46F4B"/>
    <w:rsid w:val="00A5035A"/>
    <w:rsid w:val="00A548D0"/>
    <w:rsid w:val="00A6342E"/>
    <w:rsid w:val="00A670BD"/>
    <w:rsid w:val="00A72093"/>
    <w:rsid w:val="00A72107"/>
    <w:rsid w:val="00A731A7"/>
    <w:rsid w:val="00A802D5"/>
    <w:rsid w:val="00A83126"/>
    <w:rsid w:val="00A83244"/>
    <w:rsid w:val="00A84CDC"/>
    <w:rsid w:val="00A85539"/>
    <w:rsid w:val="00A86CFD"/>
    <w:rsid w:val="00A933F6"/>
    <w:rsid w:val="00AA1738"/>
    <w:rsid w:val="00AA68C2"/>
    <w:rsid w:val="00AB05B3"/>
    <w:rsid w:val="00AB165E"/>
    <w:rsid w:val="00AB27CD"/>
    <w:rsid w:val="00AB2D3C"/>
    <w:rsid w:val="00AB3E4C"/>
    <w:rsid w:val="00AD78EC"/>
    <w:rsid w:val="00AE15C0"/>
    <w:rsid w:val="00AF0227"/>
    <w:rsid w:val="00AF124B"/>
    <w:rsid w:val="00AF5D03"/>
    <w:rsid w:val="00B00B4B"/>
    <w:rsid w:val="00B01FC7"/>
    <w:rsid w:val="00B04D1B"/>
    <w:rsid w:val="00B059BC"/>
    <w:rsid w:val="00B05E1E"/>
    <w:rsid w:val="00B227C3"/>
    <w:rsid w:val="00B23BB5"/>
    <w:rsid w:val="00B2407D"/>
    <w:rsid w:val="00B24704"/>
    <w:rsid w:val="00B32FEF"/>
    <w:rsid w:val="00B35420"/>
    <w:rsid w:val="00B37576"/>
    <w:rsid w:val="00B4231F"/>
    <w:rsid w:val="00B448FC"/>
    <w:rsid w:val="00B452CB"/>
    <w:rsid w:val="00B473B9"/>
    <w:rsid w:val="00B47ABC"/>
    <w:rsid w:val="00B60326"/>
    <w:rsid w:val="00B704CB"/>
    <w:rsid w:val="00B71C15"/>
    <w:rsid w:val="00B72743"/>
    <w:rsid w:val="00B72EBA"/>
    <w:rsid w:val="00B77245"/>
    <w:rsid w:val="00B862AB"/>
    <w:rsid w:val="00B95359"/>
    <w:rsid w:val="00B95B8D"/>
    <w:rsid w:val="00BA20F7"/>
    <w:rsid w:val="00BA425C"/>
    <w:rsid w:val="00BB06BE"/>
    <w:rsid w:val="00BB0E37"/>
    <w:rsid w:val="00BC693C"/>
    <w:rsid w:val="00BD38FA"/>
    <w:rsid w:val="00BE44A5"/>
    <w:rsid w:val="00BF02D5"/>
    <w:rsid w:val="00BF3488"/>
    <w:rsid w:val="00BF7BBC"/>
    <w:rsid w:val="00C0635D"/>
    <w:rsid w:val="00C10105"/>
    <w:rsid w:val="00C1043D"/>
    <w:rsid w:val="00C11D23"/>
    <w:rsid w:val="00C145E5"/>
    <w:rsid w:val="00C2425C"/>
    <w:rsid w:val="00C277F7"/>
    <w:rsid w:val="00C27835"/>
    <w:rsid w:val="00C27E1F"/>
    <w:rsid w:val="00C30F32"/>
    <w:rsid w:val="00C352BA"/>
    <w:rsid w:val="00C35E4A"/>
    <w:rsid w:val="00C35F8F"/>
    <w:rsid w:val="00C41651"/>
    <w:rsid w:val="00C46CAF"/>
    <w:rsid w:val="00C47924"/>
    <w:rsid w:val="00C5318E"/>
    <w:rsid w:val="00C53495"/>
    <w:rsid w:val="00C538C9"/>
    <w:rsid w:val="00C61C5C"/>
    <w:rsid w:val="00C6794E"/>
    <w:rsid w:val="00C75FF8"/>
    <w:rsid w:val="00C80CB0"/>
    <w:rsid w:val="00C8295D"/>
    <w:rsid w:val="00C840F3"/>
    <w:rsid w:val="00C85681"/>
    <w:rsid w:val="00C85DFD"/>
    <w:rsid w:val="00C87E7A"/>
    <w:rsid w:val="00C90AF6"/>
    <w:rsid w:val="00C9480F"/>
    <w:rsid w:val="00C973FA"/>
    <w:rsid w:val="00CA7139"/>
    <w:rsid w:val="00CB0E4E"/>
    <w:rsid w:val="00CB148E"/>
    <w:rsid w:val="00CB1E67"/>
    <w:rsid w:val="00CB3CE2"/>
    <w:rsid w:val="00CB4F65"/>
    <w:rsid w:val="00CB58A9"/>
    <w:rsid w:val="00CD6AAC"/>
    <w:rsid w:val="00CD7679"/>
    <w:rsid w:val="00CE2E59"/>
    <w:rsid w:val="00CE53D4"/>
    <w:rsid w:val="00CE543C"/>
    <w:rsid w:val="00CE61E4"/>
    <w:rsid w:val="00CF0C7D"/>
    <w:rsid w:val="00CF273F"/>
    <w:rsid w:val="00CF6D1E"/>
    <w:rsid w:val="00D02D82"/>
    <w:rsid w:val="00D0451E"/>
    <w:rsid w:val="00D06ECE"/>
    <w:rsid w:val="00D07FE3"/>
    <w:rsid w:val="00D11D56"/>
    <w:rsid w:val="00D11DDF"/>
    <w:rsid w:val="00D14BCA"/>
    <w:rsid w:val="00D161F0"/>
    <w:rsid w:val="00D174E8"/>
    <w:rsid w:val="00D17D32"/>
    <w:rsid w:val="00D25B87"/>
    <w:rsid w:val="00D30914"/>
    <w:rsid w:val="00D3614B"/>
    <w:rsid w:val="00D40290"/>
    <w:rsid w:val="00D43EC4"/>
    <w:rsid w:val="00D453A0"/>
    <w:rsid w:val="00D46E36"/>
    <w:rsid w:val="00D501A4"/>
    <w:rsid w:val="00D51C07"/>
    <w:rsid w:val="00D52088"/>
    <w:rsid w:val="00D521F2"/>
    <w:rsid w:val="00D534E3"/>
    <w:rsid w:val="00D60C57"/>
    <w:rsid w:val="00D6578B"/>
    <w:rsid w:val="00D667F7"/>
    <w:rsid w:val="00D679DF"/>
    <w:rsid w:val="00D71C99"/>
    <w:rsid w:val="00D72894"/>
    <w:rsid w:val="00D72F06"/>
    <w:rsid w:val="00D84075"/>
    <w:rsid w:val="00D840D7"/>
    <w:rsid w:val="00D85CFB"/>
    <w:rsid w:val="00D85D50"/>
    <w:rsid w:val="00D868EF"/>
    <w:rsid w:val="00D869C4"/>
    <w:rsid w:val="00D86D1C"/>
    <w:rsid w:val="00D94889"/>
    <w:rsid w:val="00D9685E"/>
    <w:rsid w:val="00D96F91"/>
    <w:rsid w:val="00D96FD0"/>
    <w:rsid w:val="00DA5E48"/>
    <w:rsid w:val="00DA71CB"/>
    <w:rsid w:val="00DA72C3"/>
    <w:rsid w:val="00DB1175"/>
    <w:rsid w:val="00DB1F29"/>
    <w:rsid w:val="00DB3154"/>
    <w:rsid w:val="00DB3481"/>
    <w:rsid w:val="00DB7DF5"/>
    <w:rsid w:val="00DC2814"/>
    <w:rsid w:val="00DC468D"/>
    <w:rsid w:val="00DD5370"/>
    <w:rsid w:val="00DD6B45"/>
    <w:rsid w:val="00DD74EC"/>
    <w:rsid w:val="00DD7EA3"/>
    <w:rsid w:val="00DE22C6"/>
    <w:rsid w:val="00DE4F36"/>
    <w:rsid w:val="00DF6678"/>
    <w:rsid w:val="00DF6F04"/>
    <w:rsid w:val="00E04331"/>
    <w:rsid w:val="00E11674"/>
    <w:rsid w:val="00E131C3"/>
    <w:rsid w:val="00E1681E"/>
    <w:rsid w:val="00E17C89"/>
    <w:rsid w:val="00E215BA"/>
    <w:rsid w:val="00E2209E"/>
    <w:rsid w:val="00E2409A"/>
    <w:rsid w:val="00E24528"/>
    <w:rsid w:val="00E3454C"/>
    <w:rsid w:val="00E3600D"/>
    <w:rsid w:val="00E379C0"/>
    <w:rsid w:val="00E45A1C"/>
    <w:rsid w:val="00E464FB"/>
    <w:rsid w:val="00E55BD4"/>
    <w:rsid w:val="00E57E74"/>
    <w:rsid w:val="00E6161A"/>
    <w:rsid w:val="00E61DE1"/>
    <w:rsid w:val="00E706FA"/>
    <w:rsid w:val="00E723A2"/>
    <w:rsid w:val="00E81BF8"/>
    <w:rsid w:val="00E921C0"/>
    <w:rsid w:val="00E94391"/>
    <w:rsid w:val="00E95B4A"/>
    <w:rsid w:val="00E96E52"/>
    <w:rsid w:val="00EA0501"/>
    <w:rsid w:val="00EA0DA2"/>
    <w:rsid w:val="00EA50E7"/>
    <w:rsid w:val="00EB0787"/>
    <w:rsid w:val="00EB1F26"/>
    <w:rsid w:val="00EB27EF"/>
    <w:rsid w:val="00EC22A3"/>
    <w:rsid w:val="00EC3C9F"/>
    <w:rsid w:val="00EC63B0"/>
    <w:rsid w:val="00ED046B"/>
    <w:rsid w:val="00ED0593"/>
    <w:rsid w:val="00ED183B"/>
    <w:rsid w:val="00ED2760"/>
    <w:rsid w:val="00ED44E8"/>
    <w:rsid w:val="00ED475E"/>
    <w:rsid w:val="00EE26C3"/>
    <w:rsid w:val="00EE4299"/>
    <w:rsid w:val="00EF63FA"/>
    <w:rsid w:val="00EF7FE9"/>
    <w:rsid w:val="00F12A69"/>
    <w:rsid w:val="00F15E29"/>
    <w:rsid w:val="00F23FE3"/>
    <w:rsid w:val="00F30DD8"/>
    <w:rsid w:val="00F31AC8"/>
    <w:rsid w:val="00F418F2"/>
    <w:rsid w:val="00F47163"/>
    <w:rsid w:val="00F52951"/>
    <w:rsid w:val="00F5296A"/>
    <w:rsid w:val="00F53FDB"/>
    <w:rsid w:val="00F563F1"/>
    <w:rsid w:val="00F600E8"/>
    <w:rsid w:val="00F643AE"/>
    <w:rsid w:val="00F644C5"/>
    <w:rsid w:val="00F71D68"/>
    <w:rsid w:val="00F74733"/>
    <w:rsid w:val="00F82DE0"/>
    <w:rsid w:val="00F83E85"/>
    <w:rsid w:val="00F93BB9"/>
    <w:rsid w:val="00F951C3"/>
    <w:rsid w:val="00FA403F"/>
    <w:rsid w:val="00FA7C0A"/>
    <w:rsid w:val="00FB40FB"/>
    <w:rsid w:val="00FC35F4"/>
    <w:rsid w:val="00FC39C0"/>
    <w:rsid w:val="00FC4B42"/>
    <w:rsid w:val="00FC7D88"/>
    <w:rsid w:val="00FD1A7E"/>
    <w:rsid w:val="00FD2944"/>
    <w:rsid w:val="00FE0364"/>
    <w:rsid w:val="00FE4462"/>
    <w:rsid w:val="00FE62D1"/>
    <w:rsid w:val="00FE78AE"/>
    <w:rsid w:val="00FE79BA"/>
    <w:rsid w:val="00FE7E8F"/>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15:docId w15:val="{5FEBCB92-9620-47A6-90E7-26A18892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Footnote text + 13 pt,Footnote + Arial,10 pt,4_"/>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uiPriority w:val="34"/>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link w:val="BodyTextIndent2Char"/>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aliases w:val="List Paragraph Char,Paragraph Char,List Paragraph1 Char,Norm Char,List Paragraph11 Char,Đoạn c𞹺Danh sách Char,List Paragraph111 Char,Nga 3 Char,List Paragraph2 Char"/>
    <w:link w:val="oncaDanhsch"/>
    <w:uiPriority w:val="99"/>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aliases w:val="List Paragraph1,Paragraph,Norm,List Paragraph11,Đoạn c𞹺Danh sách,List Paragraph111,Nga 3,List Paragraph2"/>
    <w:basedOn w:val="Normal"/>
    <w:link w:val="oncaDanhschChar"/>
    <w:uiPriority w:val="99"/>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BodyTextIndent2Char">
    <w:name w:val="Body Text Indent 2 Char"/>
    <w:basedOn w:val="DefaultParagraphFont"/>
    <w:link w:val="BodyTextIndent2"/>
    <w:rsid w:val="008215E4"/>
    <w:rPr>
      <w:rFonts w:ascii=".VnTime" w:hAnsi=".VnTime"/>
      <w:i/>
      <w:sz w:val="26"/>
    </w:rPr>
  </w:style>
  <w:style w:type="paragraph" w:customStyle="1" w:styleId="Compact">
    <w:name w:val="Compact"/>
    <w:basedOn w:val="BodyText"/>
    <w:qFormat/>
    <w:rsid w:val="00967EBC"/>
    <w:pPr>
      <w:spacing w:before="36" w:after="36"/>
    </w:pPr>
    <w:rPr>
      <w:rFonts w:ascii="Cambria" w:eastAsia="Cambria" w:hAnsi="Cambria"/>
      <w:sz w:val="24"/>
    </w:rPr>
  </w:style>
  <w:style w:type="paragraph" w:customStyle="1" w:styleId="FirstParagraph">
    <w:name w:val="First Paragraph"/>
    <w:basedOn w:val="BodyText"/>
    <w:next w:val="BodyText"/>
    <w:qFormat/>
    <w:rsid w:val="00967EBC"/>
    <w:pPr>
      <w:spacing w:before="180" w:after="180"/>
    </w:pPr>
    <w:rPr>
      <w:rFonts w:ascii="Cambria" w:eastAsia="Cambria" w:hAnsi="Cambria"/>
      <w:sz w:val="24"/>
    </w:rPr>
  </w:style>
  <w:style w:type="paragraph" w:styleId="BodyText">
    <w:name w:val="Body Text"/>
    <w:basedOn w:val="Normal"/>
    <w:link w:val="BodyTextChar"/>
    <w:uiPriority w:val="99"/>
    <w:semiHidden/>
    <w:unhideWhenUsed/>
    <w:rsid w:val="00967EBC"/>
    <w:pPr>
      <w:spacing w:after="120"/>
    </w:pPr>
  </w:style>
  <w:style w:type="character" w:customStyle="1" w:styleId="BodyTextChar">
    <w:name w:val="Body Text Char"/>
    <w:basedOn w:val="DefaultParagraphFont"/>
    <w:link w:val="BodyText"/>
    <w:uiPriority w:val="99"/>
    <w:semiHidden/>
    <w:rsid w:val="00967EB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77-2015-nd-cp-ke-hoach-dau-tu-cong-trung-han-va-hang-nam-290008.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uvienphapluat.vn/van-ban/xay-dung-do-thi/nghi-dinh-161-2016-nd-cp-co-che-dac-thu-quan-ly-dau-tu-xay-dung-du-an-chuong-trinh-muc-tieu-quoc-gia-333119.aspx" TargetMode="External"/><Relationship Id="rId4" Type="http://schemas.openxmlformats.org/officeDocument/2006/relationships/settings" Target="settings.xml"/><Relationship Id="rId9" Type="http://schemas.openxmlformats.org/officeDocument/2006/relationships/hyperlink" Target="https://thuvienphapluat.vn/van-ban/dau-tu/nghi-dinh-136-2015-nd-cp-huong-dan-thi-hanh-luat-dau-tu-cong-30024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24D8-1B89-4D23-9103-0D8A38E1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1143</Words>
  <Characters>6520</Characters>
  <Application>Microsoft Office Word</Application>
  <DocSecurity>0</DocSecurity>
  <PresentationFormat/>
  <Lines>54</Lines>
  <Paragraphs>15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Admin</cp:lastModifiedBy>
  <cp:revision>10</cp:revision>
  <cp:lastPrinted>2018-11-30T03:43:00Z</cp:lastPrinted>
  <dcterms:created xsi:type="dcterms:W3CDTF">2019-09-03T08:16:00Z</dcterms:created>
  <dcterms:modified xsi:type="dcterms:W3CDTF">2019-09-22T16:02:00Z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