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5" w:type="dxa"/>
        <w:tblCellSpacing w:w="0" w:type="dxa"/>
        <w:tblInd w:w="-5" w:type="dxa"/>
        <w:shd w:val="clear" w:color="auto" w:fill="FFFFFF"/>
        <w:tblCellMar>
          <w:left w:w="0" w:type="dxa"/>
          <w:right w:w="0" w:type="dxa"/>
        </w:tblCellMar>
        <w:tblLook w:val="04A0" w:firstRow="1" w:lastRow="0" w:firstColumn="1" w:lastColumn="0" w:noHBand="0" w:noVBand="1"/>
      </w:tblPr>
      <w:tblGrid>
        <w:gridCol w:w="3361"/>
        <w:gridCol w:w="5824"/>
      </w:tblGrid>
      <w:tr w:rsidR="004E626B" w:rsidRPr="005F6E5E" w14:paraId="367C6E6B" w14:textId="77777777" w:rsidTr="00AE2E45">
        <w:trPr>
          <w:trHeight w:val="327"/>
          <w:tblCellSpacing w:w="0" w:type="dxa"/>
        </w:trPr>
        <w:tc>
          <w:tcPr>
            <w:tcW w:w="3361" w:type="dxa"/>
            <w:shd w:val="clear" w:color="auto" w:fill="FFFFFF"/>
            <w:tcMar>
              <w:top w:w="0" w:type="dxa"/>
              <w:left w:w="108" w:type="dxa"/>
              <w:bottom w:w="0" w:type="dxa"/>
              <w:right w:w="108" w:type="dxa"/>
            </w:tcMar>
            <w:hideMark/>
          </w:tcPr>
          <w:p w14:paraId="31E39C7C" w14:textId="4B9A3467" w:rsidR="004E626B" w:rsidRPr="005F6E5E" w:rsidRDefault="00365006" w:rsidP="00365006">
            <w:pPr>
              <w:jc w:val="center"/>
              <w:rPr>
                <w:sz w:val="26"/>
                <w:szCs w:val="26"/>
              </w:rPr>
            </w:pPr>
            <w:r w:rsidRPr="005F6E5E">
              <w:rPr>
                <w:b/>
                <w:bCs/>
                <w:noProof/>
                <w:sz w:val="26"/>
                <w:szCs w:val="26"/>
              </w:rPr>
              <mc:AlternateContent>
                <mc:Choice Requires="wps">
                  <w:drawing>
                    <wp:anchor distT="4294967295" distB="4294967295" distL="114300" distR="114300" simplePos="0" relativeHeight="251661312" behindDoc="0" locked="0" layoutInCell="1" allowOverlap="1" wp14:anchorId="3995217D" wp14:editId="258AC718">
                      <wp:simplePos x="0" y="0"/>
                      <wp:positionH relativeFrom="column">
                        <wp:posOffset>557530</wp:posOffset>
                      </wp:positionH>
                      <wp:positionV relativeFrom="paragraph">
                        <wp:posOffset>400685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FD736F"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pt,31.55pt" to="106.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y8EgIAAB8EAAAOAAAAZHJzL2Uyb0RvYy54bWysU8uu0zAQ3SPxD5b3bR6kvW3U9AqSls0F&#10;KhU+wLWdxsKxLdttWiH+nbH7gMIGITbO2DM+mXPOePF86iU6cuuEVhXOxilGXFHNhNpX+Mvn9WiG&#10;kfNEMSK14hU+c4efl69fLQZT8lx3WjJuEYAoVw6mwp33pkwSRzveEzfWhitIttr2xMPW7hNmyQDo&#10;vUzyNJ0mg7bMWE25c3DaXJJ4GfHbllP/qW0d90hWGHrzcbVx3YU1WS5IubfEdIJe2yD/0EVPhIKf&#10;3qEa4gk6WPEHVC+o1U63fkx1n+i2FZRHDsAmS39js+2I4ZELiOPMXSb3/2Dpx+PGIsEqnGOkSA8W&#10;bb0lYt95VGulQEBtUR50GowrobxWGxuY0pPamhdNvzrIJQ/JsHEGcHfDB80Akhy8jvKcWtuHy0Ac&#10;naIL57sL/OQRhcNZCkqAV/SWSkh5u2es8++57lEIKiyFCvqQkhxfnA99kPJWEo6VXgspo8dSoaHC&#10;80k+iRecloKFZChzdr+rpUVHAlNSTJ7m72aBMIA9lFl9UCyCdZyw1TX2RMhLDPVSBTxgAu1co8sY&#10;fJun89VsNStGRT5djYq0aUZv13Uxmq6zp0nzpqnrJvseWsuKshOMcRW6u41kVvyd5dfHcRmm+1De&#10;ZUge0SNFaPb2jU1HK4N7F8d3mp03NqgRXIUpjMXXFxPG/Nd9rPr5rpc/AAAA//8DAFBLAwQUAAYA&#10;CAAAACEA2u+E39sAAAAIAQAADwAAAGRycy9kb3ducmV2LnhtbEyPT0vDQBDF74LfYRnBm90kxZrG&#10;bIoULOjNKvQ6zY5JcP+E3W2TfntHPOjxvTe895t6M1sjzhTi4J2CfJGBINd6PbhOwcf7810JIiZ0&#10;Go13pOBCETbN9VWNlfaTe6PzPnWCS1ysUEGf0lhJGdueLMaFH8lx9umDxcQydFIHnLjcGllk2Upa&#10;HBwv9DjStqf2a3+yCl5CaXaHNZb3eu0vZju9HoodKnV7Mz89gkg0p79j+MFndGiY6ehPTkdhFJQP&#10;TJ4UrJY5CM6LfMnG8deQTS3/P9B8AwAA//8DAFBLAQItABQABgAIAAAAIQC2gziS/gAAAOEBAAAT&#10;AAAAAAAAAAAAAAAAAAAAAABbQ29udGVudF9UeXBlc10ueG1sUEsBAi0AFAAGAAgAAAAhADj9If/W&#10;AAAAlAEAAAsAAAAAAAAAAAAAAAAALwEAAF9yZWxzLy5yZWxzUEsBAi0AFAAGAAgAAAAhAI6/PLwS&#10;AgAAHwQAAA4AAAAAAAAAAAAAAAAALgIAAGRycy9lMm9Eb2MueG1sUEsBAi0AFAAGAAgAAAAhANrv&#10;hN/bAAAACAEAAA8AAAAAAAAAAAAAAAAAbAQAAGRycy9kb3ducmV2LnhtbFBLBQYAAAAABAAEAPMA&#10;AAB0BQAAAAA=&#10;" strokecolor="#4579b8">
                      <o:lock v:ext="edit" shapetype="f"/>
                    </v:line>
                  </w:pict>
                </mc:Fallback>
              </mc:AlternateContent>
            </w:r>
            <w:r w:rsidR="004E626B" w:rsidRPr="005F6E5E">
              <w:rPr>
                <w:b/>
                <w:bCs/>
                <w:sz w:val="26"/>
                <w:szCs w:val="26"/>
              </w:rPr>
              <w:t>HỘI ĐỒNG NHÂN DÂN</w:t>
            </w:r>
            <w:r w:rsidR="004E626B" w:rsidRPr="005F6E5E">
              <w:rPr>
                <w:b/>
                <w:bCs/>
                <w:sz w:val="26"/>
                <w:szCs w:val="26"/>
              </w:rPr>
              <w:br/>
              <w:t xml:space="preserve">TỈNH </w:t>
            </w:r>
            <w:r w:rsidR="00527C9B" w:rsidRPr="005F6E5E">
              <w:rPr>
                <w:b/>
                <w:bCs/>
                <w:sz w:val="26"/>
                <w:szCs w:val="26"/>
              </w:rPr>
              <w:t>QUẢNG TRỊ</w:t>
            </w:r>
          </w:p>
        </w:tc>
        <w:tc>
          <w:tcPr>
            <w:tcW w:w="5824" w:type="dxa"/>
            <w:shd w:val="clear" w:color="auto" w:fill="FFFFFF"/>
            <w:tcMar>
              <w:top w:w="0" w:type="dxa"/>
              <w:left w:w="108" w:type="dxa"/>
              <w:bottom w:w="0" w:type="dxa"/>
              <w:right w:w="108" w:type="dxa"/>
            </w:tcMar>
            <w:hideMark/>
          </w:tcPr>
          <w:p w14:paraId="03F704B6" w14:textId="5FC31B48" w:rsidR="004E626B" w:rsidRPr="005F6E5E" w:rsidRDefault="004E626B" w:rsidP="00365006">
            <w:pPr>
              <w:jc w:val="center"/>
            </w:pPr>
            <w:r w:rsidRPr="005F6E5E">
              <w:rPr>
                <w:b/>
                <w:bCs/>
                <w:sz w:val="26"/>
                <w:szCs w:val="26"/>
                <w:lang w:val="vi-VN"/>
              </w:rPr>
              <w:t>CỘNG HÒA XÃ HỘI CHỦ NGHĨA VIỆT NAM</w:t>
            </w:r>
            <w:r w:rsidRPr="005F6E5E">
              <w:rPr>
                <w:b/>
                <w:bCs/>
                <w:lang w:val="vi-VN"/>
              </w:rPr>
              <w:br/>
            </w:r>
            <w:r w:rsidRPr="005F6E5E">
              <w:rPr>
                <w:b/>
                <w:bCs/>
                <w:sz w:val="28"/>
                <w:szCs w:val="28"/>
                <w:lang w:val="vi-VN"/>
              </w:rPr>
              <w:t>Độc lập - Tự do - Hạnh phúc</w:t>
            </w:r>
          </w:p>
        </w:tc>
      </w:tr>
      <w:tr w:rsidR="004E626B" w:rsidRPr="005F6E5E" w14:paraId="33EB30ED" w14:textId="77777777" w:rsidTr="00AE2E45">
        <w:trPr>
          <w:trHeight w:val="544"/>
          <w:tblCellSpacing w:w="0" w:type="dxa"/>
        </w:trPr>
        <w:tc>
          <w:tcPr>
            <w:tcW w:w="3361" w:type="dxa"/>
            <w:shd w:val="clear" w:color="auto" w:fill="FFFFFF"/>
            <w:tcMar>
              <w:top w:w="0" w:type="dxa"/>
              <w:left w:w="108" w:type="dxa"/>
              <w:bottom w:w="0" w:type="dxa"/>
              <w:right w:w="108" w:type="dxa"/>
            </w:tcMar>
            <w:hideMark/>
          </w:tcPr>
          <w:p w14:paraId="5EA4D077" w14:textId="49EAB122" w:rsidR="004E626B" w:rsidRPr="005F6E5E" w:rsidRDefault="004E626B" w:rsidP="00685809">
            <w:pPr>
              <w:spacing w:before="120" w:after="120"/>
              <w:jc w:val="center"/>
              <w:rPr>
                <w:sz w:val="26"/>
                <w:szCs w:val="26"/>
              </w:rPr>
            </w:pPr>
            <w:r w:rsidRPr="005F6E5E">
              <w:rPr>
                <w:sz w:val="26"/>
                <w:szCs w:val="26"/>
                <w:lang w:val="vi-VN"/>
              </w:rPr>
              <w:t>Số: </w:t>
            </w:r>
            <w:r w:rsidRPr="005F6E5E">
              <w:rPr>
                <w:sz w:val="26"/>
                <w:szCs w:val="26"/>
              </w:rPr>
              <w:t xml:space="preserve">         /2025/NQ-HĐND</w:t>
            </w:r>
          </w:p>
          <w:p w14:paraId="73DE5E03" w14:textId="56796B09" w:rsidR="004E626B" w:rsidRPr="00EB649F" w:rsidRDefault="00065592" w:rsidP="00EB649F">
            <w:pPr>
              <w:spacing w:before="120" w:after="120"/>
              <w:jc w:val="center"/>
              <w:rPr>
                <w:sz w:val="26"/>
                <w:szCs w:val="26"/>
              </w:rPr>
            </w:pPr>
            <w:r w:rsidRPr="005F6E5E">
              <w:rPr>
                <w:sz w:val="26"/>
                <w:szCs w:val="26"/>
                <w:bdr w:val="single" w:sz="4" w:space="0" w:color="auto"/>
              </w:rPr>
              <w:t>DỰ THẢO</w:t>
            </w:r>
          </w:p>
        </w:tc>
        <w:tc>
          <w:tcPr>
            <w:tcW w:w="5824" w:type="dxa"/>
            <w:shd w:val="clear" w:color="auto" w:fill="FFFFFF"/>
            <w:tcMar>
              <w:top w:w="0" w:type="dxa"/>
              <w:left w:w="108" w:type="dxa"/>
              <w:bottom w:w="0" w:type="dxa"/>
              <w:right w:w="108" w:type="dxa"/>
            </w:tcMar>
            <w:hideMark/>
          </w:tcPr>
          <w:p w14:paraId="34C991CD" w14:textId="5AFA78C3" w:rsidR="004E626B" w:rsidRPr="005F6E5E" w:rsidRDefault="00365006" w:rsidP="006839D6">
            <w:pPr>
              <w:spacing w:before="120" w:after="120" w:line="234" w:lineRule="atLeast"/>
              <w:jc w:val="center"/>
              <w:rPr>
                <w:sz w:val="28"/>
                <w:szCs w:val="28"/>
              </w:rPr>
            </w:pPr>
            <w:r w:rsidRPr="005F6E5E">
              <w:rPr>
                <w:b/>
                <w:bCs/>
                <w:noProof/>
                <w:sz w:val="26"/>
                <w:szCs w:val="26"/>
                <w14:ligatures w14:val="standardContextual"/>
              </w:rPr>
              <mc:AlternateContent>
                <mc:Choice Requires="wps">
                  <w:drawing>
                    <wp:anchor distT="0" distB="0" distL="114300" distR="114300" simplePos="0" relativeHeight="251662336" behindDoc="0" locked="0" layoutInCell="1" allowOverlap="1" wp14:anchorId="258E6D1B" wp14:editId="65DBCCE9">
                      <wp:simplePos x="0" y="0"/>
                      <wp:positionH relativeFrom="column">
                        <wp:posOffset>945515</wp:posOffset>
                      </wp:positionH>
                      <wp:positionV relativeFrom="paragraph">
                        <wp:posOffset>27609</wp:posOffset>
                      </wp:positionV>
                      <wp:extent cx="1693545"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16935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3D0A5B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45pt,2.15pt" to="20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qtwEAAMMDAAAOAAAAZHJzL2Uyb0RvYy54bWysU8GO0zAQvSPxD5bvNO3SXUHUdA9dwQVB&#10;xcIHeJ1xY8n2WGPTpH/P2G2zCJAQiIvjsee9mfc82dxP3okjULIYOrlaLKWAoLG34dDJr1/evXoj&#10;Rcoq9MphgE6eIMn77csXmzG2cIMDuh5IMElI7Rg7OeQc26ZJegCv0gIjBL40SF5lDunQ9KRGZveu&#10;uVku75oRqY+EGlLi04fzpdxWfmNA50/GJMjCdZJ7y3Wluj6VtdluVHsgFQerL22of+jCKxu46Ez1&#10;oLIS38j+QuWtJkxo8kKjb9AYq6FqYDWr5U9qHgcVoWphc1KcbUr/j1Z/PO5J2L6TaymC8vxEj5mU&#10;PQxZ7DAENhBJrItPY0wtp+/Cni5RinsqoidDvnxZjpiqt6fZW5iy0Hy4unv7+nZ9K4W+3jXPwEgp&#10;vwf0omw66WwoslWrjh9S5mKcek3hoDRyLl13+eSgJLvwGQxLKcUqug4R7ByJo+LnV1pDyKsihflq&#10;doEZ69wMXP4ZeMkvUKgD9jfgGVErY8gz2NuA9Lvqebq2bM75VwfOuosFT9if6qNUa3hSqsLLVJdR&#10;/DGu8Od/b/sdAAD//wMAUEsDBBQABgAIAAAAIQCGrHQo3QAAAAcBAAAPAAAAZHJzL2Rvd25yZXYu&#10;eG1sTI5RS8MwFIXfBf9DuIJvLt2sY9amYwzEORjDKczHrLm21eamJNna/Xuvvujjxzmc8+Xzwbbi&#10;hD40jhSMRwkIpNKZhioFb6+PNzMQIWoyunWECs4YYF5cXuQ6M66nFzztYiV4hEKmFdQxdpmUoazR&#10;6jByHRJnH85bHRl9JY3XPY/bVk6SZCqtbogfat3hssbya3e0CjZ+tVou1udP2r7bfj9Z77fPw5NS&#10;11fD4gFExCH+leFHn9WhYKeDO5IJomVOZ/dcVZDeguA8Hd9NQRx+WRa5/O9ffAMAAP//AwBQSwEC&#10;LQAUAAYACAAAACEAtoM4kv4AAADhAQAAEwAAAAAAAAAAAAAAAAAAAAAAW0NvbnRlbnRfVHlwZXNd&#10;LnhtbFBLAQItABQABgAIAAAAIQA4/SH/1gAAAJQBAAALAAAAAAAAAAAAAAAAAC8BAABfcmVscy8u&#10;cmVsc1BLAQItABQABgAIAAAAIQAQ+NeqtwEAAMMDAAAOAAAAAAAAAAAAAAAAAC4CAABkcnMvZTJv&#10;RG9jLnhtbFBLAQItABQABgAIAAAAIQCGrHQo3QAAAAcBAAAPAAAAAAAAAAAAAAAAABEEAABkcnMv&#10;ZG93bnJldi54bWxQSwUGAAAAAAQABADzAAAAGwUAAAAA&#10;" strokecolor="#4472c4 [3204]" strokeweight=".5pt">
                      <v:stroke joinstyle="miter"/>
                    </v:line>
                  </w:pict>
                </mc:Fallback>
              </mc:AlternateContent>
            </w:r>
            <w:r w:rsidR="004E626B" w:rsidRPr="005F6E5E">
              <w:rPr>
                <w:i/>
                <w:iCs/>
                <w:sz w:val="28"/>
                <w:szCs w:val="28"/>
              </w:rPr>
              <w:t xml:space="preserve">   </w:t>
            </w:r>
            <w:r w:rsidR="00527C9B" w:rsidRPr="005F6E5E">
              <w:rPr>
                <w:i/>
                <w:iCs/>
                <w:sz w:val="28"/>
                <w:szCs w:val="28"/>
              </w:rPr>
              <w:t>Quảng Trị</w:t>
            </w:r>
            <w:r w:rsidR="004E626B" w:rsidRPr="005F6E5E">
              <w:rPr>
                <w:i/>
                <w:iCs/>
                <w:sz w:val="28"/>
                <w:szCs w:val="28"/>
                <w:lang w:val="vi-VN"/>
              </w:rPr>
              <w:t>, ngày     tháng </w:t>
            </w:r>
            <w:r w:rsidR="004E626B" w:rsidRPr="005F6E5E">
              <w:rPr>
                <w:i/>
                <w:iCs/>
                <w:sz w:val="28"/>
                <w:szCs w:val="28"/>
              </w:rPr>
              <w:t xml:space="preserve">    </w:t>
            </w:r>
            <w:r w:rsidR="004E626B" w:rsidRPr="005F6E5E">
              <w:rPr>
                <w:i/>
                <w:iCs/>
                <w:sz w:val="28"/>
                <w:szCs w:val="28"/>
                <w:lang w:val="vi-VN"/>
              </w:rPr>
              <w:t> năm </w:t>
            </w:r>
            <w:r w:rsidR="004E626B" w:rsidRPr="005F6E5E">
              <w:rPr>
                <w:i/>
                <w:iCs/>
                <w:sz w:val="28"/>
                <w:szCs w:val="28"/>
              </w:rPr>
              <w:t>2025</w:t>
            </w:r>
          </w:p>
        </w:tc>
      </w:tr>
    </w:tbl>
    <w:p w14:paraId="5F27E7AD" w14:textId="77777777" w:rsidR="004E626B" w:rsidRPr="005F6E5E" w:rsidRDefault="004E626B" w:rsidP="004E626B">
      <w:pPr>
        <w:shd w:val="clear" w:color="auto" w:fill="FFFFFF"/>
        <w:jc w:val="center"/>
        <w:rPr>
          <w:b/>
          <w:bCs/>
          <w:sz w:val="28"/>
          <w:szCs w:val="28"/>
        </w:rPr>
      </w:pPr>
      <w:r w:rsidRPr="005F6E5E">
        <w:rPr>
          <w:b/>
          <w:bCs/>
          <w:sz w:val="28"/>
          <w:szCs w:val="28"/>
        </w:rPr>
        <w:t>NGHỊ QUYẾT</w:t>
      </w:r>
    </w:p>
    <w:p w14:paraId="095B9833" w14:textId="77777777" w:rsidR="00620B24" w:rsidRPr="005F6E5E" w:rsidRDefault="00EC72E6" w:rsidP="00272DCB">
      <w:pPr>
        <w:shd w:val="clear" w:color="auto" w:fill="FFFFFF"/>
        <w:jc w:val="center"/>
        <w:rPr>
          <w:b/>
          <w:sz w:val="28"/>
          <w:szCs w:val="28"/>
        </w:rPr>
      </w:pPr>
      <w:bookmarkStart w:id="0" w:name="_Hlk197331605"/>
      <w:r w:rsidRPr="005F6E5E">
        <w:rPr>
          <w:b/>
          <w:sz w:val="28"/>
          <w:szCs w:val="28"/>
        </w:rPr>
        <w:t>Q</w:t>
      </w:r>
      <w:r w:rsidR="004E626B" w:rsidRPr="005F6E5E">
        <w:rPr>
          <w:b/>
          <w:sz w:val="28"/>
          <w:szCs w:val="28"/>
        </w:rPr>
        <w:t xml:space="preserve">uy định </w:t>
      </w:r>
      <w:r w:rsidR="00FE1C03" w:rsidRPr="005F6E5E">
        <w:rPr>
          <w:b/>
          <w:sz w:val="28"/>
          <w:szCs w:val="28"/>
        </w:rPr>
        <w:t>mức cho vay, thời hạn cho vay, lãi suất cho vay</w:t>
      </w:r>
      <w:r w:rsidR="005F12B5" w:rsidRPr="005F6E5E">
        <w:rPr>
          <w:b/>
          <w:sz w:val="28"/>
          <w:szCs w:val="28"/>
        </w:rPr>
        <w:t xml:space="preserve"> và các khoản nợ</w:t>
      </w:r>
    </w:p>
    <w:p w14:paraId="7B5A91A1" w14:textId="77777777" w:rsidR="001B3C7D" w:rsidRPr="005F6E5E" w:rsidRDefault="005F12B5" w:rsidP="007176D0">
      <w:pPr>
        <w:shd w:val="clear" w:color="auto" w:fill="FFFFFF"/>
        <w:jc w:val="center"/>
        <w:rPr>
          <w:b/>
          <w:sz w:val="28"/>
          <w:szCs w:val="28"/>
        </w:rPr>
      </w:pPr>
      <w:r w:rsidRPr="005F6E5E">
        <w:rPr>
          <w:b/>
          <w:sz w:val="28"/>
          <w:szCs w:val="28"/>
        </w:rPr>
        <w:t>bị rủi ro ngoài phạm vi đối tượng và nguyên nhân khách quan được xem xét xử lý rủi ro theo quy định của Thủ tướng Chính phủ</w:t>
      </w:r>
      <w:r w:rsidR="00FE1C03" w:rsidRPr="005F6E5E">
        <w:rPr>
          <w:b/>
          <w:sz w:val="28"/>
          <w:szCs w:val="28"/>
        </w:rPr>
        <w:t xml:space="preserve"> </w:t>
      </w:r>
      <w:r w:rsidR="00272DCB" w:rsidRPr="005F6E5E">
        <w:rPr>
          <w:b/>
          <w:sz w:val="28"/>
          <w:szCs w:val="28"/>
        </w:rPr>
        <w:t>đối với</w:t>
      </w:r>
      <w:r w:rsidR="00FE1C03" w:rsidRPr="005F6E5E">
        <w:rPr>
          <w:b/>
          <w:sz w:val="28"/>
          <w:szCs w:val="28"/>
        </w:rPr>
        <w:t xml:space="preserve"> nguồn vốn ngân sách </w:t>
      </w:r>
      <w:r w:rsidRPr="005F6E5E">
        <w:rPr>
          <w:b/>
          <w:sz w:val="28"/>
          <w:szCs w:val="28"/>
        </w:rPr>
        <w:t>đ</w:t>
      </w:r>
      <w:r w:rsidR="00FE1C03" w:rsidRPr="005F6E5E">
        <w:rPr>
          <w:b/>
          <w:sz w:val="28"/>
          <w:szCs w:val="28"/>
        </w:rPr>
        <w:t>ịa phương uỷ thác qua Ngân hàng Chính sách xã hội để cho vay đối với người nghèo và các đối tượng chính sách khác</w:t>
      </w:r>
      <w:r w:rsidR="007176D0" w:rsidRPr="005F6E5E">
        <w:rPr>
          <w:b/>
          <w:sz w:val="28"/>
          <w:szCs w:val="28"/>
        </w:rPr>
        <w:t xml:space="preserve"> </w:t>
      </w:r>
      <w:r w:rsidR="00FE1C03" w:rsidRPr="005F6E5E">
        <w:rPr>
          <w:b/>
          <w:sz w:val="28"/>
          <w:szCs w:val="28"/>
        </w:rPr>
        <w:t>trên địa bàn</w:t>
      </w:r>
    </w:p>
    <w:p w14:paraId="18EFD13C" w14:textId="53B2E491" w:rsidR="004E626B" w:rsidRPr="005F6E5E" w:rsidRDefault="00FE1C03" w:rsidP="007176D0">
      <w:pPr>
        <w:shd w:val="clear" w:color="auto" w:fill="FFFFFF"/>
        <w:jc w:val="center"/>
        <w:rPr>
          <w:b/>
          <w:sz w:val="28"/>
          <w:szCs w:val="28"/>
        </w:rPr>
      </w:pPr>
      <w:r w:rsidRPr="005F6E5E">
        <w:rPr>
          <w:b/>
          <w:sz w:val="28"/>
          <w:szCs w:val="28"/>
        </w:rPr>
        <w:t>tỉnh Quảng Trị</w:t>
      </w:r>
    </w:p>
    <w:bookmarkEnd w:id="0"/>
    <w:p w14:paraId="433AA82A" w14:textId="55CEC51E" w:rsidR="004E626B" w:rsidRPr="005F6E5E" w:rsidRDefault="004E626B" w:rsidP="00065592">
      <w:pPr>
        <w:shd w:val="clear" w:color="auto" w:fill="FFFFFF"/>
        <w:spacing w:line="360" w:lineRule="exact"/>
        <w:ind w:firstLine="720"/>
        <w:jc w:val="center"/>
        <w:rPr>
          <w:b/>
          <w:bCs/>
          <w:sz w:val="28"/>
          <w:szCs w:val="28"/>
        </w:rPr>
      </w:pPr>
    </w:p>
    <w:p w14:paraId="5EA187A0" w14:textId="3DA016AD" w:rsidR="0001124E" w:rsidRPr="0094707E" w:rsidRDefault="008A6369" w:rsidP="000A3FAF">
      <w:pPr>
        <w:pStyle w:val="Vnbnnidung0"/>
        <w:spacing w:before="120" w:after="120" w:line="240" w:lineRule="auto"/>
        <w:ind w:firstLine="720"/>
        <w:jc w:val="both"/>
        <w:rPr>
          <w:rStyle w:val="Vnbnnidung"/>
          <w:rFonts w:eastAsiaTheme="majorEastAsia"/>
          <w:i/>
          <w:iCs/>
          <w:sz w:val="28"/>
          <w:szCs w:val="28"/>
        </w:rPr>
      </w:pPr>
      <w:r w:rsidRPr="0094707E">
        <w:rPr>
          <w:i/>
          <w:sz w:val="28"/>
          <w:szCs w:val="28"/>
        </w:rPr>
        <w:t>Căn cứ Luật Tổ chức chính quyền địa phương số 72/2025/QH15</w:t>
      </w:r>
      <w:r w:rsidR="0001124E" w:rsidRPr="0094707E">
        <w:rPr>
          <w:rStyle w:val="Vnbnnidung"/>
          <w:rFonts w:eastAsiaTheme="majorEastAsia"/>
          <w:i/>
          <w:iCs/>
          <w:sz w:val="28"/>
          <w:szCs w:val="28"/>
        </w:rPr>
        <w:t>;</w:t>
      </w:r>
    </w:p>
    <w:p w14:paraId="7E7B5CF9" w14:textId="77777777" w:rsidR="002513BC" w:rsidRPr="0094707E" w:rsidRDefault="002513BC" w:rsidP="00862EE4">
      <w:pPr>
        <w:spacing w:before="120" w:after="120" w:line="340" w:lineRule="atLeast"/>
        <w:ind w:firstLine="720"/>
        <w:jc w:val="both"/>
        <w:rPr>
          <w:rFonts w:eastAsia="Calibri"/>
          <w:i/>
          <w:sz w:val="28"/>
          <w:szCs w:val="28"/>
        </w:rPr>
      </w:pPr>
      <w:r w:rsidRPr="0094707E">
        <w:rPr>
          <w:rFonts w:eastAsia="Calibri"/>
          <w:i/>
          <w:sz w:val="28"/>
          <w:szCs w:val="28"/>
        </w:rPr>
        <w:t>Căn cứ Luật Ban hành văn bản quy phạm pháp luật số 64/2025/QH15 được sửa đổi, bổ sung bởi Luật số 87/2025/QH15;</w:t>
      </w:r>
    </w:p>
    <w:p w14:paraId="6E2D0B4F" w14:textId="5A7CD69E" w:rsidR="005F5A7D" w:rsidRDefault="0001124E" w:rsidP="00862EE4">
      <w:pPr>
        <w:pStyle w:val="Vnbnnidung0"/>
        <w:spacing w:before="120" w:after="120" w:line="340" w:lineRule="atLeast"/>
        <w:ind w:firstLine="720"/>
        <w:jc w:val="both"/>
        <w:rPr>
          <w:rStyle w:val="Vnbnnidung"/>
          <w:rFonts w:eastAsiaTheme="majorEastAsia"/>
          <w:i/>
          <w:iCs/>
          <w:sz w:val="28"/>
          <w:szCs w:val="28"/>
        </w:rPr>
      </w:pPr>
      <w:r w:rsidRPr="0094707E">
        <w:rPr>
          <w:rStyle w:val="Vnbnnidung"/>
          <w:rFonts w:eastAsiaTheme="majorEastAsia"/>
          <w:i/>
          <w:iCs/>
          <w:sz w:val="28"/>
          <w:szCs w:val="28"/>
        </w:rPr>
        <w:t xml:space="preserve">Căn cứ Nghị định </w:t>
      </w:r>
      <w:r w:rsidR="005F5A7D" w:rsidRPr="0094707E">
        <w:rPr>
          <w:rStyle w:val="Vnbnnidung"/>
          <w:rFonts w:eastAsiaTheme="majorEastAsia"/>
          <w:i/>
          <w:iCs/>
          <w:sz w:val="28"/>
          <w:szCs w:val="28"/>
        </w:rPr>
        <w:t>s</w:t>
      </w:r>
      <w:r w:rsidR="002A6EC7" w:rsidRPr="0094707E">
        <w:rPr>
          <w:rStyle w:val="Vnbnnidung"/>
          <w:rFonts w:eastAsiaTheme="majorEastAsia"/>
          <w:i/>
          <w:iCs/>
          <w:sz w:val="28"/>
          <w:szCs w:val="28"/>
        </w:rPr>
        <w:t>ố</w:t>
      </w:r>
      <w:r w:rsidRPr="0094707E">
        <w:rPr>
          <w:rStyle w:val="Vnbnnidung"/>
          <w:rFonts w:eastAsiaTheme="majorEastAsia"/>
          <w:i/>
          <w:iCs/>
          <w:sz w:val="28"/>
          <w:szCs w:val="28"/>
        </w:rPr>
        <w:t xml:space="preserve"> 78/2002/NĐ-CP ngày 04 tháng 10 năm 2002</w:t>
      </w:r>
      <w:r w:rsidR="005F5A7D" w:rsidRPr="0094707E">
        <w:rPr>
          <w:rStyle w:val="Vnbnnidung"/>
          <w:rFonts w:eastAsiaTheme="majorEastAsia"/>
          <w:i/>
          <w:iCs/>
          <w:sz w:val="28"/>
          <w:szCs w:val="28"/>
        </w:rPr>
        <w:t xml:space="preserve"> của Chính phủ</w:t>
      </w:r>
      <w:r w:rsidRPr="0094707E">
        <w:rPr>
          <w:rStyle w:val="Vnbnnidung"/>
          <w:rFonts w:eastAsiaTheme="majorEastAsia"/>
          <w:i/>
          <w:iCs/>
          <w:sz w:val="28"/>
          <w:szCs w:val="28"/>
        </w:rPr>
        <w:t xml:space="preserve"> về tín dụng đ</w:t>
      </w:r>
      <w:r w:rsidR="002A6EC7" w:rsidRPr="0094707E">
        <w:rPr>
          <w:rStyle w:val="Vnbnnidung"/>
          <w:rFonts w:eastAsiaTheme="majorEastAsia"/>
          <w:i/>
          <w:iCs/>
          <w:sz w:val="28"/>
          <w:szCs w:val="28"/>
        </w:rPr>
        <w:t>ố</w:t>
      </w:r>
      <w:r w:rsidRPr="0094707E">
        <w:rPr>
          <w:rStyle w:val="Vnbnnidung"/>
          <w:rFonts w:eastAsiaTheme="majorEastAsia"/>
          <w:i/>
          <w:iCs/>
          <w:sz w:val="28"/>
          <w:szCs w:val="28"/>
        </w:rPr>
        <w:t>i với người nghèo và các đ</w:t>
      </w:r>
      <w:r w:rsidR="002A6EC7" w:rsidRPr="0094707E">
        <w:rPr>
          <w:rStyle w:val="Vnbnnidung"/>
          <w:rFonts w:eastAsiaTheme="majorEastAsia"/>
          <w:i/>
          <w:iCs/>
          <w:sz w:val="28"/>
          <w:szCs w:val="28"/>
        </w:rPr>
        <w:t>ố</w:t>
      </w:r>
      <w:r w:rsidRPr="0094707E">
        <w:rPr>
          <w:rStyle w:val="Vnbnnidung"/>
          <w:rFonts w:eastAsiaTheme="majorEastAsia"/>
          <w:i/>
          <w:iCs/>
          <w:sz w:val="28"/>
          <w:szCs w:val="28"/>
        </w:rPr>
        <w:t>i tượng chính sách khác;</w:t>
      </w:r>
    </w:p>
    <w:p w14:paraId="3CDA2260" w14:textId="77777777" w:rsidR="00C42663" w:rsidRPr="00E61A01" w:rsidRDefault="00C42663" w:rsidP="00C42663">
      <w:pPr>
        <w:pStyle w:val="Vnbnnidung0"/>
        <w:spacing w:before="80" w:after="80" w:line="240" w:lineRule="auto"/>
        <w:ind w:firstLine="720"/>
        <w:jc w:val="both"/>
        <w:rPr>
          <w:rStyle w:val="Vnbnnidung"/>
          <w:i/>
          <w:iCs/>
          <w:sz w:val="28"/>
          <w:szCs w:val="28"/>
        </w:rPr>
      </w:pPr>
      <w:r>
        <w:rPr>
          <w:rStyle w:val="Vnbnnidung"/>
          <w:i/>
          <w:iCs/>
          <w:sz w:val="28"/>
          <w:szCs w:val="28"/>
        </w:rPr>
        <w:t>Căn cứ Quyết định số 50/2010/QĐ-TTg ngày 28 tháng 7 năm 2010 của Thủ tướng Chính phủ về việc ban hành cơ chế xử lý nợ bị rủi ro tại Ngân hàng Chính sách xã hội được sửa đổi, bổ sung bởi Quyết định số 08/2021/QĐ-TTg ngày 11 tháng 3 năm 2021;</w:t>
      </w:r>
    </w:p>
    <w:p w14:paraId="6826B080" w14:textId="0D961778" w:rsidR="0001124E" w:rsidRPr="0094707E" w:rsidRDefault="0001124E" w:rsidP="00862EE4">
      <w:pPr>
        <w:pStyle w:val="Vnbnnidung0"/>
        <w:spacing w:before="120" w:after="120" w:line="340" w:lineRule="atLeast"/>
        <w:ind w:firstLine="720"/>
        <w:jc w:val="both"/>
        <w:rPr>
          <w:rStyle w:val="Vnbnnidung"/>
          <w:rFonts w:eastAsiaTheme="majorEastAsia"/>
          <w:i/>
          <w:iCs/>
          <w:sz w:val="28"/>
          <w:szCs w:val="28"/>
        </w:rPr>
      </w:pPr>
      <w:r w:rsidRPr="0094707E">
        <w:rPr>
          <w:rStyle w:val="Vnbnnidung"/>
          <w:rFonts w:eastAsiaTheme="majorEastAsia"/>
          <w:i/>
          <w:iCs/>
          <w:sz w:val="28"/>
          <w:szCs w:val="28"/>
        </w:rPr>
        <w:t>Căn cứ Th</w:t>
      </w:r>
      <w:r w:rsidR="00332795" w:rsidRPr="0094707E">
        <w:rPr>
          <w:rStyle w:val="Vnbnnidung"/>
          <w:rFonts w:eastAsiaTheme="majorEastAsia"/>
          <w:i/>
          <w:iCs/>
          <w:sz w:val="28"/>
          <w:szCs w:val="28"/>
        </w:rPr>
        <w:t>ô</w:t>
      </w:r>
      <w:r w:rsidRPr="0094707E">
        <w:rPr>
          <w:rStyle w:val="Vnbnnidung"/>
          <w:rFonts w:eastAsiaTheme="majorEastAsia"/>
          <w:i/>
          <w:iCs/>
          <w:sz w:val="28"/>
          <w:szCs w:val="28"/>
        </w:rPr>
        <w:t>ng tư s</w:t>
      </w:r>
      <w:r w:rsidR="00332795" w:rsidRPr="0094707E">
        <w:rPr>
          <w:rStyle w:val="Vnbnnidung"/>
          <w:rFonts w:eastAsiaTheme="majorEastAsia"/>
          <w:i/>
          <w:iCs/>
          <w:sz w:val="28"/>
          <w:szCs w:val="28"/>
        </w:rPr>
        <w:t>ố</w:t>
      </w:r>
      <w:r w:rsidRPr="0094707E">
        <w:rPr>
          <w:rStyle w:val="Vnbnnidung"/>
          <w:rFonts w:eastAsiaTheme="majorEastAsia"/>
          <w:i/>
          <w:iCs/>
          <w:sz w:val="28"/>
          <w:szCs w:val="28"/>
        </w:rPr>
        <w:t xml:space="preserve"> </w:t>
      </w:r>
      <w:r w:rsidR="00332795" w:rsidRPr="0094707E">
        <w:rPr>
          <w:rStyle w:val="Vnbnnidung"/>
          <w:rFonts w:eastAsiaTheme="majorEastAsia"/>
          <w:i/>
          <w:iCs/>
          <w:sz w:val="28"/>
          <w:szCs w:val="28"/>
        </w:rPr>
        <w:t>11</w:t>
      </w:r>
      <w:r w:rsidRPr="0094707E">
        <w:rPr>
          <w:rStyle w:val="Vnbnnidung"/>
          <w:rFonts w:eastAsiaTheme="majorEastAsia"/>
          <w:i/>
          <w:iCs/>
          <w:sz w:val="28"/>
          <w:szCs w:val="28"/>
        </w:rPr>
        <w:t>/20</w:t>
      </w:r>
      <w:r w:rsidR="00332795" w:rsidRPr="0094707E">
        <w:rPr>
          <w:rStyle w:val="Vnbnnidung"/>
          <w:rFonts w:eastAsiaTheme="majorEastAsia"/>
          <w:i/>
          <w:iCs/>
          <w:sz w:val="28"/>
          <w:szCs w:val="28"/>
        </w:rPr>
        <w:t>17</w:t>
      </w:r>
      <w:r w:rsidRPr="0094707E">
        <w:rPr>
          <w:rStyle w:val="Vnbnnidung"/>
          <w:rFonts w:eastAsiaTheme="majorEastAsia"/>
          <w:i/>
          <w:iCs/>
          <w:sz w:val="28"/>
          <w:szCs w:val="28"/>
        </w:rPr>
        <w:t xml:space="preserve">/TT-BTC ngày 08 tháng 02 năm 2017 của Bộ Tài chính quy định </w:t>
      </w:r>
      <w:r w:rsidR="00D50A85" w:rsidRPr="0094707E">
        <w:rPr>
          <w:rStyle w:val="Vnbnnidung"/>
          <w:rFonts w:eastAsiaTheme="majorEastAsia"/>
          <w:i/>
          <w:iCs/>
          <w:sz w:val="28"/>
          <w:szCs w:val="28"/>
        </w:rPr>
        <w:t>về</w:t>
      </w:r>
      <w:r w:rsidRPr="0094707E">
        <w:rPr>
          <w:rStyle w:val="Vnbnnidung"/>
          <w:rFonts w:eastAsiaTheme="majorEastAsia"/>
          <w:i/>
          <w:iCs/>
          <w:sz w:val="28"/>
          <w:szCs w:val="28"/>
        </w:rPr>
        <w:t xml:space="preserve"> quản </w:t>
      </w:r>
      <w:r w:rsidR="00332795" w:rsidRPr="0094707E">
        <w:rPr>
          <w:rStyle w:val="Vnbnnidung"/>
          <w:rFonts w:eastAsiaTheme="majorEastAsia"/>
          <w:i/>
          <w:iCs/>
          <w:sz w:val="28"/>
          <w:szCs w:val="28"/>
        </w:rPr>
        <w:t>l</w:t>
      </w:r>
      <w:r w:rsidRPr="0094707E">
        <w:rPr>
          <w:rStyle w:val="Vnbnnidung"/>
          <w:rFonts w:eastAsiaTheme="majorEastAsia"/>
          <w:i/>
          <w:iCs/>
          <w:sz w:val="28"/>
          <w:szCs w:val="28"/>
        </w:rPr>
        <w:t>ý và sử dụng nguồn v</w:t>
      </w:r>
      <w:r w:rsidR="00332795" w:rsidRPr="0094707E">
        <w:rPr>
          <w:rStyle w:val="Vnbnnidung"/>
          <w:rFonts w:eastAsiaTheme="majorEastAsia"/>
          <w:i/>
          <w:iCs/>
          <w:sz w:val="28"/>
          <w:szCs w:val="28"/>
        </w:rPr>
        <w:t>ố</w:t>
      </w:r>
      <w:r w:rsidRPr="0094707E">
        <w:rPr>
          <w:rStyle w:val="Vnbnnidung"/>
          <w:rFonts w:eastAsiaTheme="majorEastAsia"/>
          <w:i/>
          <w:iCs/>
          <w:sz w:val="28"/>
          <w:szCs w:val="28"/>
        </w:rPr>
        <w:t>n ngân sách địa phương ủy thác qua Ngân hàng Ch</w:t>
      </w:r>
      <w:r w:rsidR="00332795" w:rsidRPr="0094707E">
        <w:rPr>
          <w:rStyle w:val="Vnbnnidung"/>
          <w:rFonts w:eastAsiaTheme="majorEastAsia"/>
          <w:i/>
          <w:iCs/>
          <w:sz w:val="28"/>
          <w:szCs w:val="28"/>
        </w:rPr>
        <w:t>í</w:t>
      </w:r>
      <w:r w:rsidRPr="0094707E">
        <w:rPr>
          <w:rStyle w:val="Vnbnnidung"/>
          <w:rFonts w:eastAsiaTheme="majorEastAsia"/>
          <w:i/>
          <w:iCs/>
          <w:sz w:val="28"/>
          <w:szCs w:val="28"/>
        </w:rPr>
        <w:t>nh sách xã hội đ</w:t>
      </w:r>
      <w:r w:rsidR="00332795" w:rsidRPr="0094707E">
        <w:rPr>
          <w:rStyle w:val="Vnbnnidung"/>
          <w:rFonts w:eastAsiaTheme="majorEastAsia"/>
          <w:i/>
          <w:iCs/>
          <w:sz w:val="28"/>
          <w:szCs w:val="28"/>
        </w:rPr>
        <w:t>ể</w:t>
      </w:r>
      <w:r w:rsidRPr="0094707E">
        <w:rPr>
          <w:rStyle w:val="Vnbnnidung"/>
          <w:rFonts w:eastAsiaTheme="majorEastAsia"/>
          <w:i/>
          <w:iCs/>
          <w:sz w:val="28"/>
          <w:szCs w:val="28"/>
        </w:rPr>
        <w:t xml:space="preserve"> cho vay đ</w:t>
      </w:r>
      <w:r w:rsidR="00332795" w:rsidRPr="0094707E">
        <w:rPr>
          <w:rStyle w:val="Vnbnnidung"/>
          <w:rFonts w:eastAsiaTheme="majorEastAsia"/>
          <w:i/>
          <w:iCs/>
          <w:sz w:val="28"/>
          <w:szCs w:val="28"/>
        </w:rPr>
        <w:t>ố</w:t>
      </w:r>
      <w:r w:rsidRPr="0094707E">
        <w:rPr>
          <w:rStyle w:val="Vnbnnidung"/>
          <w:rFonts w:eastAsiaTheme="majorEastAsia"/>
          <w:i/>
          <w:iCs/>
          <w:sz w:val="28"/>
          <w:szCs w:val="28"/>
        </w:rPr>
        <w:t>i với người nghèo và các đ</w:t>
      </w:r>
      <w:r w:rsidR="00332795" w:rsidRPr="0094707E">
        <w:rPr>
          <w:rStyle w:val="Vnbnnidung"/>
          <w:rFonts w:eastAsiaTheme="majorEastAsia"/>
          <w:i/>
          <w:iCs/>
          <w:sz w:val="28"/>
          <w:szCs w:val="28"/>
        </w:rPr>
        <w:t>ố</w:t>
      </w:r>
      <w:r w:rsidRPr="0094707E">
        <w:rPr>
          <w:rStyle w:val="Vnbnnidung"/>
          <w:rFonts w:eastAsiaTheme="majorEastAsia"/>
          <w:i/>
          <w:iCs/>
          <w:sz w:val="28"/>
          <w:szCs w:val="28"/>
        </w:rPr>
        <w:t>i tượng chính sách khá</w:t>
      </w:r>
      <w:r w:rsidR="00332795" w:rsidRPr="0094707E">
        <w:rPr>
          <w:rStyle w:val="Vnbnnidung"/>
          <w:rFonts w:eastAsiaTheme="majorEastAsia"/>
          <w:i/>
          <w:iCs/>
          <w:sz w:val="28"/>
          <w:szCs w:val="28"/>
        </w:rPr>
        <w:t>c</w:t>
      </w:r>
      <w:r w:rsidR="002513BC" w:rsidRPr="0094707E">
        <w:rPr>
          <w:rStyle w:val="Vnbnnidung"/>
          <w:rFonts w:eastAsiaTheme="majorEastAsia"/>
          <w:i/>
          <w:iCs/>
          <w:sz w:val="28"/>
          <w:szCs w:val="28"/>
        </w:rPr>
        <w:t xml:space="preserve"> được sửa đổi, bổ sung </w:t>
      </w:r>
      <w:r w:rsidR="001F610E" w:rsidRPr="0094707E">
        <w:rPr>
          <w:rStyle w:val="Vnbnnidung"/>
          <w:rFonts w:eastAsiaTheme="majorEastAsia"/>
          <w:i/>
          <w:iCs/>
          <w:sz w:val="28"/>
          <w:szCs w:val="28"/>
        </w:rPr>
        <w:t>bởi</w:t>
      </w:r>
      <w:r w:rsidR="00332795" w:rsidRPr="0094707E">
        <w:rPr>
          <w:rStyle w:val="Vnbnnidung"/>
          <w:rFonts w:eastAsiaTheme="majorEastAsia"/>
          <w:i/>
          <w:iCs/>
          <w:sz w:val="28"/>
          <w:szCs w:val="28"/>
        </w:rPr>
        <w:t xml:space="preserve"> Thông tư số 84/2025/T</w:t>
      </w:r>
      <w:r w:rsidR="002513BC" w:rsidRPr="0094707E">
        <w:rPr>
          <w:rStyle w:val="Vnbnnidung"/>
          <w:rFonts w:eastAsiaTheme="majorEastAsia"/>
          <w:i/>
          <w:iCs/>
          <w:sz w:val="28"/>
          <w:szCs w:val="28"/>
        </w:rPr>
        <w:t>T-BTC ngày 19 tháng 8 năm 2025</w:t>
      </w:r>
      <w:r w:rsidR="00332795" w:rsidRPr="0094707E">
        <w:rPr>
          <w:rStyle w:val="Vnbnnidung"/>
          <w:rFonts w:eastAsiaTheme="majorEastAsia"/>
          <w:i/>
          <w:iCs/>
          <w:sz w:val="28"/>
          <w:szCs w:val="28"/>
        </w:rPr>
        <w:t>;</w:t>
      </w:r>
    </w:p>
    <w:p w14:paraId="2F4E1869" w14:textId="6C97C55C" w:rsidR="0001124E" w:rsidRPr="0094707E" w:rsidRDefault="0001124E" w:rsidP="00862EE4">
      <w:pPr>
        <w:shd w:val="clear" w:color="auto" w:fill="FFFFFF"/>
        <w:spacing w:before="120" w:after="120" w:line="340" w:lineRule="atLeast"/>
        <w:ind w:firstLine="720"/>
        <w:jc w:val="both"/>
        <w:rPr>
          <w:sz w:val="28"/>
          <w:szCs w:val="28"/>
        </w:rPr>
      </w:pPr>
      <w:r w:rsidRPr="0094707E">
        <w:rPr>
          <w:rStyle w:val="Vnbnnidung"/>
          <w:rFonts w:eastAsiaTheme="majorEastAsia"/>
          <w:i/>
          <w:iCs/>
          <w:sz w:val="28"/>
          <w:szCs w:val="28"/>
        </w:rPr>
        <w:t>Xét Tờ trình số</w:t>
      </w:r>
      <w:r w:rsidR="00FA50A5" w:rsidRPr="0094707E">
        <w:rPr>
          <w:rStyle w:val="Vnbnnidung"/>
          <w:rFonts w:eastAsiaTheme="majorEastAsia"/>
          <w:i/>
          <w:iCs/>
          <w:sz w:val="28"/>
          <w:szCs w:val="28"/>
        </w:rPr>
        <w:t xml:space="preserve"> </w:t>
      </w:r>
      <w:r w:rsidR="002B13BF" w:rsidRPr="0094707E">
        <w:rPr>
          <w:rStyle w:val="Vnbnnidung"/>
          <w:rFonts w:eastAsiaTheme="majorEastAsia"/>
          <w:i/>
          <w:iCs/>
          <w:sz w:val="28"/>
          <w:szCs w:val="28"/>
        </w:rPr>
        <w:t xml:space="preserve"> </w:t>
      </w:r>
      <w:r w:rsidR="00BD1502" w:rsidRPr="0094707E">
        <w:rPr>
          <w:rStyle w:val="Vnbnnidung"/>
          <w:rFonts w:eastAsiaTheme="majorEastAsia"/>
          <w:i/>
          <w:iCs/>
          <w:sz w:val="28"/>
          <w:szCs w:val="28"/>
        </w:rPr>
        <w:t xml:space="preserve"> </w:t>
      </w:r>
      <w:r w:rsidR="002B13BF" w:rsidRPr="0094707E">
        <w:rPr>
          <w:rStyle w:val="Vnbnnidung"/>
          <w:rFonts w:eastAsiaTheme="majorEastAsia"/>
          <w:i/>
          <w:iCs/>
          <w:sz w:val="28"/>
          <w:szCs w:val="28"/>
        </w:rPr>
        <w:t xml:space="preserve"> </w:t>
      </w:r>
      <w:r w:rsidR="00FA50A5" w:rsidRPr="0094707E">
        <w:rPr>
          <w:rStyle w:val="Vnbnnidung"/>
          <w:rFonts w:eastAsiaTheme="majorEastAsia"/>
          <w:i/>
          <w:iCs/>
          <w:sz w:val="28"/>
          <w:szCs w:val="28"/>
        </w:rPr>
        <w:t xml:space="preserve">  </w:t>
      </w:r>
      <w:r w:rsidRPr="0094707E">
        <w:rPr>
          <w:rStyle w:val="Vnbnnidung"/>
          <w:rFonts w:eastAsiaTheme="majorEastAsia"/>
          <w:i/>
          <w:iCs/>
          <w:sz w:val="28"/>
          <w:szCs w:val="28"/>
        </w:rPr>
        <w:t xml:space="preserve">/TTr-UBND ngày </w:t>
      </w:r>
      <w:r w:rsidR="00FA50A5" w:rsidRPr="0094707E">
        <w:rPr>
          <w:rStyle w:val="Vnbnnidung"/>
          <w:rFonts w:eastAsiaTheme="majorEastAsia"/>
          <w:i/>
          <w:iCs/>
          <w:sz w:val="28"/>
          <w:szCs w:val="28"/>
        </w:rPr>
        <w:t xml:space="preserve">   </w:t>
      </w:r>
      <w:r w:rsidRPr="0094707E">
        <w:rPr>
          <w:rStyle w:val="Vnbnnidung"/>
          <w:rFonts w:eastAsiaTheme="majorEastAsia"/>
          <w:i/>
          <w:iCs/>
          <w:sz w:val="28"/>
          <w:szCs w:val="28"/>
        </w:rPr>
        <w:t xml:space="preserve"> tháng </w:t>
      </w:r>
      <w:r w:rsidR="00033C16" w:rsidRPr="0094707E">
        <w:rPr>
          <w:rStyle w:val="Vnbnnidung"/>
          <w:rFonts w:eastAsiaTheme="majorEastAsia"/>
          <w:i/>
          <w:iCs/>
          <w:sz w:val="28"/>
          <w:szCs w:val="28"/>
        </w:rPr>
        <w:t>11</w:t>
      </w:r>
      <w:r w:rsidRPr="0094707E">
        <w:rPr>
          <w:rStyle w:val="Vnbnnidung"/>
          <w:rFonts w:eastAsiaTheme="majorEastAsia"/>
          <w:i/>
          <w:iCs/>
          <w:sz w:val="28"/>
          <w:szCs w:val="28"/>
        </w:rPr>
        <w:t xml:space="preserve"> năm 2025 của </w:t>
      </w:r>
      <w:r w:rsidR="00332795" w:rsidRPr="0094707E">
        <w:rPr>
          <w:rStyle w:val="Vnbnnidung"/>
          <w:rFonts w:eastAsiaTheme="majorEastAsia"/>
          <w:i/>
          <w:iCs/>
          <w:sz w:val="28"/>
          <w:szCs w:val="28"/>
        </w:rPr>
        <w:t>Ủ</w:t>
      </w:r>
      <w:r w:rsidRPr="0094707E">
        <w:rPr>
          <w:rStyle w:val="Vnbnnidung"/>
          <w:rFonts w:eastAsiaTheme="majorEastAsia"/>
          <w:i/>
          <w:iCs/>
          <w:sz w:val="28"/>
          <w:szCs w:val="28"/>
        </w:rPr>
        <w:t xml:space="preserve">y ban nhân dân tỉnh về việc đề nghị ban hành Nghị quyết của Hội đồng nhân dân tỉnh quy định </w:t>
      </w:r>
      <w:r w:rsidR="004B7988" w:rsidRPr="0094707E">
        <w:rPr>
          <w:rStyle w:val="Vnbnnidung"/>
          <w:rFonts w:eastAsiaTheme="majorEastAsia"/>
          <w:i/>
          <w:iCs/>
          <w:sz w:val="28"/>
          <w:szCs w:val="28"/>
        </w:rPr>
        <w:t>mức cho vay, thời hạn cho vay, lãi suất cho vay</w:t>
      </w:r>
      <w:r w:rsidR="002B13BF" w:rsidRPr="0094707E">
        <w:rPr>
          <w:b/>
          <w:sz w:val="28"/>
          <w:szCs w:val="28"/>
        </w:rPr>
        <w:t xml:space="preserve"> </w:t>
      </w:r>
      <w:r w:rsidR="002B13BF" w:rsidRPr="0094707E">
        <w:rPr>
          <w:i/>
          <w:sz w:val="28"/>
          <w:szCs w:val="28"/>
        </w:rPr>
        <w:t xml:space="preserve">và các khoản nợ bị rủi ro ngoài phạm vi đối tượng và nguyên nhân khách quan được xem xét xử lý rủi ro theo quy định của Thủ tướng Chính phủ </w:t>
      </w:r>
      <w:r w:rsidR="00602AAE" w:rsidRPr="0094707E">
        <w:rPr>
          <w:i/>
          <w:sz w:val="28"/>
          <w:szCs w:val="28"/>
        </w:rPr>
        <w:t>đối với</w:t>
      </w:r>
      <w:r w:rsidR="002B13BF" w:rsidRPr="0094707E">
        <w:rPr>
          <w:i/>
          <w:sz w:val="28"/>
          <w:szCs w:val="28"/>
        </w:rPr>
        <w:t xml:space="preserve"> </w:t>
      </w:r>
      <w:r w:rsidR="004B7988" w:rsidRPr="0094707E">
        <w:rPr>
          <w:i/>
          <w:sz w:val="28"/>
          <w:szCs w:val="28"/>
        </w:rPr>
        <w:t>nguồn vốn ngân sách địa phương uỷ thác qua Ngân hàng Chính sách xã hội để cho vay đối với người nghèo và các đối tượng chính sách khác trên địa bàn tỉnh Quảng Trị</w:t>
      </w:r>
      <w:r w:rsidRPr="0094707E">
        <w:rPr>
          <w:rStyle w:val="Vnbnnidung"/>
          <w:rFonts w:eastAsiaTheme="majorEastAsia"/>
          <w:i/>
          <w:iCs/>
          <w:sz w:val="28"/>
          <w:szCs w:val="28"/>
        </w:rPr>
        <w:t>; Báo c</w:t>
      </w:r>
      <w:r w:rsidR="00332795" w:rsidRPr="0094707E">
        <w:rPr>
          <w:rStyle w:val="Vnbnnidung"/>
          <w:rFonts w:eastAsiaTheme="majorEastAsia"/>
          <w:i/>
          <w:iCs/>
          <w:sz w:val="28"/>
          <w:szCs w:val="28"/>
        </w:rPr>
        <w:t>á</w:t>
      </w:r>
      <w:r w:rsidRPr="0094707E">
        <w:rPr>
          <w:rStyle w:val="Vnbnnidung"/>
          <w:rFonts w:eastAsiaTheme="majorEastAsia"/>
          <w:i/>
          <w:iCs/>
          <w:sz w:val="28"/>
          <w:szCs w:val="28"/>
        </w:rPr>
        <w:t>o thẩm tra s</w:t>
      </w:r>
      <w:r w:rsidR="00332795" w:rsidRPr="0094707E">
        <w:rPr>
          <w:rStyle w:val="Vnbnnidung"/>
          <w:rFonts w:eastAsiaTheme="majorEastAsia"/>
          <w:i/>
          <w:iCs/>
          <w:sz w:val="28"/>
          <w:szCs w:val="28"/>
        </w:rPr>
        <w:t>ố</w:t>
      </w:r>
      <w:r w:rsidRPr="0094707E">
        <w:rPr>
          <w:rStyle w:val="Vnbnnidung"/>
          <w:rFonts w:eastAsiaTheme="majorEastAsia"/>
          <w:i/>
          <w:iCs/>
          <w:sz w:val="28"/>
          <w:szCs w:val="28"/>
        </w:rPr>
        <w:t xml:space="preserve"> </w:t>
      </w:r>
      <w:r w:rsidR="00BD1502" w:rsidRPr="0094707E">
        <w:rPr>
          <w:rStyle w:val="Vnbnnidung"/>
          <w:rFonts w:eastAsiaTheme="majorEastAsia"/>
          <w:i/>
          <w:iCs/>
          <w:sz w:val="28"/>
          <w:szCs w:val="28"/>
        </w:rPr>
        <w:t xml:space="preserve">….. </w:t>
      </w:r>
      <w:r w:rsidRPr="0094707E">
        <w:rPr>
          <w:rStyle w:val="Vnbnnidung"/>
          <w:rFonts w:eastAsiaTheme="majorEastAsia"/>
          <w:i/>
          <w:iCs/>
          <w:sz w:val="28"/>
          <w:szCs w:val="28"/>
        </w:rPr>
        <w:t xml:space="preserve">/BC-KTNS ngày </w:t>
      </w:r>
      <w:r w:rsidR="00332795" w:rsidRPr="0094707E">
        <w:rPr>
          <w:rStyle w:val="Vnbnnidung"/>
          <w:rFonts w:eastAsiaTheme="majorEastAsia"/>
          <w:i/>
          <w:iCs/>
          <w:sz w:val="28"/>
          <w:szCs w:val="28"/>
        </w:rPr>
        <w:t>…</w:t>
      </w:r>
      <w:r w:rsidR="006E789F" w:rsidRPr="0094707E">
        <w:rPr>
          <w:rStyle w:val="Vnbnnidung"/>
          <w:rFonts w:eastAsiaTheme="majorEastAsia"/>
          <w:i/>
          <w:iCs/>
          <w:sz w:val="28"/>
          <w:szCs w:val="28"/>
        </w:rPr>
        <w:t>.</w:t>
      </w:r>
      <w:r w:rsidRPr="0094707E">
        <w:rPr>
          <w:rStyle w:val="Vnbnnidung"/>
          <w:rFonts w:eastAsiaTheme="majorEastAsia"/>
          <w:i/>
          <w:iCs/>
          <w:sz w:val="28"/>
          <w:szCs w:val="28"/>
        </w:rPr>
        <w:t xml:space="preserve"> tháng </w:t>
      </w:r>
      <w:r w:rsidR="00CD2EC6">
        <w:rPr>
          <w:rStyle w:val="Vnbnnidung"/>
          <w:rFonts w:eastAsiaTheme="majorEastAsia"/>
          <w:i/>
          <w:iCs/>
          <w:sz w:val="28"/>
          <w:szCs w:val="28"/>
        </w:rPr>
        <w:t xml:space="preserve">     </w:t>
      </w:r>
      <w:r w:rsidRPr="0094707E">
        <w:rPr>
          <w:rStyle w:val="Vnbnnidung"/>
          <w:rFonts w:eastAsiaTheme="majorEastAsia"/>
          <w:i/>
          <w:iCs/>
          <w:sz w:val="28"/>
          <w:szCs w:val="28"/>
        </w:rPr>
        <w:t xml:space="preserve"> năm 2025 của Ban Kinh tế - Ngân sách Hội đồng nhân dân tỉnh; ý kiến thảo luận của đại bi</w:t>
      </w:r>
      <w:r w:rsidR="00332795" w:rsidRPr="0094707E">
        <w:rPr>
          <w:rStyle w:val="Vnbnnidung"/>
          <w:rFonts w:eastAsiaTheme="majorEastAsia"/>
          <w:i/>
          <w:iCs/>
          <w:sz w:val="28"/>
          <w:szCs w:val="28"/>
        </w:rPr>
        <w:t>ể</w:t>
      </w:r>
      <w:r w:rsidRPr="0094707E">
        <w:rPr>
          <w:rStyle w:val="Vnbnnidung"/>
          <w:rFonts w:eastAsiaTheme="majorEastAsia"/>
          <w:i/>
          <w:iCs/>
          <w:sz w:val="28"/>
          <w:szCs w:val="28"/>
        </w:rPr>
        <w:t xml:space="preserve">u Hội đồng nhân dân tỉnh tại </w:t>
      </w:r>
      <w:r w:rsidR="002B13BF" w:rsidRPr="0094707E">
        <w:rPr>
          <w:rStyle w:val="Vnbnnidung"/>
          <w:rFonts w:eastAsiaTheme="majorEastAsia"/>
          <w:i/>
          <w:iCs/>
          <w:sz w:val="28"/>
          <w:szCs w:val="28"/>
        </w:rPr>
        <w:t>k</w:t>
      </w:r>
      <w:r w:rsidRPr="0094707E">
        <w:rPr>
          <w:rStyle w:val="Vnbnnidung"/>
          <w:rFonts w:eastAsiaTheme="majorEastAsia"/>
          <w:i/>
          <w:iCs/>
          <w:sz w:val="28"/>
          <w:szCs w:val="28"/>
        </w:rPr>
        <w:t>ỳ họp.</w:t>
      </w:r>
    </w:p>
    <w:p w14:paraId="2E753EE1" w14:textId="6B7666DD" w:rsidR="004B11F3" w:rsidRPr="0094707E" w:rsidRDefault="0001124E" w:rsidP="00862EE4">
      <w:pPr>
        <w:pStyle w:val="Vnbnnidung0"/>
        <w:spacing w:before="120" w:after="120" w:line="340" w:lineRule="atLeast"/>
        <w:ind w:firstLine="720"/>
        <w:jc w:val="both"/>
        <w:rPr>
          <w:rStyle w:val="Vnbnnidung"/>
          <w:rFonts w:eastAsiaTheme="majorEastAsia"/>
          <w:i/>
          <w:iCs/>
          <w:sz w:val="28"/>
          <w:szCs w:val="28"/>
        </w:rPr>
      </w:pPr>
      <w:r w:rsidRPr="0094707E">
        <w:rPr>
          <w:rStyle w:val="Vnbnnidung"/>
          <w:rFonts w:eastAsiaTheme="majorEastAsia"/>
          <w:i/>
          <w:iCs/>
          <w:sz w:val="28"/>
          <w:szCs w:val="28"/>
        </w:rPr>
        <w:t>Hội đ</w:t>
      </w:r>
      <w:r w:rsidR="00332795" w:rsidRPr="0094707E">
        <w:rPr>
          <w:rStyle w:val="Vnbnnidung"/>
          <w:rFonts w:eastAsiaTheme="majorEastAsia"/>
          <w:i/>
          <w:iCs/>
          <w:sz w:val="28"/>
          <w:szCs w:val="28"/>
        </w:rPr>
        <w:t>ồ</w:t>
      </w:r>
      <w:r w:rsidRPr="0094707E">
        <w:rPr>
          <w:rStyle w:val="Vnbnnidung"/>
          <w:rFonts w:eastAsiaTheme="majorEastAsia"/>
          <w:i/>
          <w:iCs/>
          <w:sz w:val="28"/>
          <w:szCs w:val="28"/>
        </w:rPr>
        <w:t>ng nhân dân tỉnh</w:t>
      </w:r>
      <w:r w:rsidR="004B11F3" w:rsidRPr="0094707E">
        <w:rPr>
          <w:rStyle w:val="Vnbnnidung"/>
          <w:rFonts w:eastAsiaTheme="majorEastAsia"/>
          <w:i/>
          <w:iCs/>
          <w:sz w:val="28"/>
          <w:szCs w:val="28"/>
        </w:rPr>
        <w:t xml:space="preserve"> </w:t>
      </w:r>
      <w:r w:rsidRPr="0094707E">
        <w:rPr>
          <w:rStyle w:val="Vnbnnidung"/>
          <w:rFonts w:eastAsiaTheme="majorEastAsia"/>
          <w:i/>
          <w:iCs/>
          <w:sz w:val="28"/>
          <w:szCs w:val="28"/>
        </w:rPr>
        <w:t xml:space="preserve">ban hành Nghị quyết </w:t>
      </w:r>
      <w:r w:rsidR="004B11F3" w:rsidRPr="0094707E">
        <w:rPr>
          <w:rStyle w:val="Vnbnnidung"/>
          <w:rFonts w:eastAsiaTheme="majorEastAsia"/>
          <w:i/>
          <w:iCs/>
          <w:sz w:val="28"/>
          <w:szCs w:val="28"/>
        </w:rPr>
        <w:t>q</w:t>
      </w:r>
      <w:r w:rsidR="004B11F3" w:rsidRPr="0094707E">
        <w:rPr>
          <w:i/>
          <w:sz w:val="28"/>
          <w:szCs w:val="28"/>
        </w:rPr>
        <w:t xml:space="preserve">uy định mức cho vay, thời hạn cho vay, lãi suất cho vay </w:t>
      </w:r>
      <w:r w:rsidR="00272DCB" w:rsidRPr="0094707E">
        <w:rPr>
          <w:i/>
          <w:sz w:val="28"/>
          <w:szCs w:val="28"/>
        </w:rPr>
        <w:t xml:space="preserve">và các khoản nợ bị rủi ro ngoài phạm vi đối tượng và nguyên nhân khách quan được xem xét xử lý rủi ro theo quy định của Thủ tướng Chính phủ </w:t>
      </w:r>
      <w:r w:rsidR="00602AAE" w:rsidRPr="0094707E">
        <w:rPr>
          <w:i/>
          <w:sz w:val="28"/>
          <w:szCs w:val="28"/>
        </w:rPr>
        <w:t>đối với</w:t>
      </w:r>
      <w:r w:rsidR="00272DCB" w:rsidRPr="0094707E">
        <w:rPr>
          <w:i/>
          <w:sz w:val="28"/>
          <w:szCs w:val="28"/>
        </w:rPr>
        <w:t xml:space="preserve"> </w:t>
      </w:r>
      <w:r w:rsidR="004B11F3" w:rsidRPr="0094707E">
        <w:rPr>
          <w:i/>
          <w:sz w:val="28"/>
          <w:szCs w:val="28"/>
        </w:rPr>
        <w:t xml:space="preserve">nguồn vốn ngân sách địa phương uỷ thác qua Ngân hàng Chính sách xã hội để cho vay đối với người nghèo và các đối tượng chính sách khác </w:t>
      </w:r>
      <w:r w:rsidR="004B11F3" w:rsidRPr="0094707E">
        <w:rPr>
          <w:rStyle w:val="Vnbnnidung"/>
          <w:rFonts w:eastAsiaTheme="majorEastAsia"/>
          <w:i/>
          <w:iCs/>
          <w:sz w:val="28"/>
          <w:szCs w:val="28"/>
        </w:rPr>
        <w:t xml:space="preserve">trên </w:t>
      </w:r>
      <w:r w:rsidR="004B11F3" w:rsidRPr="0094707E">
        <w:rPr>
          <w:rStyle w:val="Vnbnnidung"/>
          <w:rFonts w:eastAsiaTheme="majorEastAsia"/>
          <w:i/>
          <w:iCs/>
          <w:sz w:val="28"/>
          <w:szCs w:val="28"/>
        </w:rPr>
        <w:lastRenderedPageBreak/>
        <w:t>địa bàn tỉnh Quảng Trị.</w:t>
      </w:r>
    </w:p>
    <w:p w14:paraId="6406CD62" w14:textId="39F5CABD" w:rsidR="0001124E" w:rsidRPr="0094707E" w:rsidRDefault="0001124E" w:rsidP="00862EE4">
      <w:pPr>
        <w:pStyle w:val="Vnbnnidung0"/>
        <w:spacing w:before="120" w:after="120" w:line="340" w:lineRule="atLeast"/>
        <w:ind w:firstLine="720"/>
        <w:jc w:val="both"/>
        <w:rPr>
          <w:rStyle w:val="Vnbnnidung"/>
          <w:rFonts w:eastAsiaTheme="majorEastAsia"/>
          <w:b/>
          <w:sz w:val="28"/>
          <w:szCs w:val="28"/>
        </w:rPr>
      </w:pPr>
      <w:r w:rsidRPr="0094707E">
        <w:rPr>
          <w:rStyle w:val="Vnbnnidung"/>
          <w:rFonts w:eastAsiaTheme="majorEastAsia"/>
          <w:b/>
          <w:bCs/>
          <w:sz w:val="28"/>
          <w:szCs w:val="28"/>
        </w:rPr>
        <w:t xml:space="preserve">Điều 1. </w:t>
      </w:r>
      <w:r w:rsidRPr="0094707E">
        <w:rPr>
          <w:rStyle w:val="Vnbnnidung"/>
          <w:rFonts w:eastAsiaTheme="majorEastAsia"/>
          <w:b/>
          <w:sz w:val="28"/>
          <w:szCs w:val="28"/>
        </w:rPr>
        <w:t>Phạm vi điều chỉnh</w:t>
      </w:r>
      <w:r w:rsidR="00257602" w:rsidRPr="0094707E">
        <w:rPr>
          <w:rStyle w:val="Vnbnnidung"/>
          <w:rFonts w:eastAsiaTheme="majorEastAsia"/>
          <w:b/>
          <w:sz w:val="28"/>
          <w:szCs w:val="28"/>
        </w:rPr>
        <w:t xml:space="preserve"> và</w:t>
      </w:r>
      <w:r w:rsidR="004B7988" w:rsidRPr="0094707E">
        <w:rPr>
          <w:rStyle w:val="Vnbnnidung"/>
          <w:rFonts w:eastAsiaTheme="majorEastAsia"/>
          <w:b/>
          <w:sz w:val="28"/>
          <w:szCs w:val="28"/>
        </w:rPr>
        <w:t xml:space="preserve"> đối tượng áp dụ</w:t>
      </w:r>
      <w:r w:rsidR="00326821" w:rsidRPr="0094707E">
        <w:rPr>
          <w:rStyle w:val="Vnbnnidung"/>
          <w:rFonts w:eastAsiaTheme="majorEastAsia"/>
          <w:b/>
          <w:sz w:val="28"/>
          <w:szCs w:val="28"/>
        </w:rPr>
        <w:t>ng</w:t>
      </w:r>
    </w:p>
    <w:p w14:paraId="5C27A097" w14:textId="2DDF3DCA" w:rsidR="004B7988" w:rsidRPr="0094707E" w:rsidRDefault="00A24205" w:rsidP="00862EE4">
      <w:pPr>
        <w:pStyle w:val="Vnbnnidung0"/>
        <w:spacing w:before="120" w:after="120" w:line="340" w:lineRule="atLeast"/>
        <w:ind w:firstLine="720"/>
        <w:jc w:val="both"/>
        <w:rPr>
          <w:sz w:val="28"/>
          <w:szCs w:val="28"/>
        </w:rPr>
      </w:pPr>
      <w:r w:rsidRPr="0094707E">
        <w:rPr>
          <w:rStyle w:val="Vnbnnidung"/>
          <w:rFonts w:eastAsiaTheme="majorEastAsia"/>
          <w:sz w:val="28"/>
          <w:szCs w:val="28"/>
        </w:rPr>
        <w:t xml:space="preserve">1. </w:t>
      </w:r>
      <w:r w:rsidR="004B7988" w:rsidRPr="0094707E">
        <w:rPr>
          <w:rStyle w:val="Vnbnnidung"/>
          <w:rFonts w:eastAsiaTheme="majorEastAsia"/>
          <w:sz w:val="28"/>
          <w:szCs w:val="28"/>
        </w:rPr>
        <w:t>Phạm vi điều chỉnh</w:t>
      </w:r>
    </w:p>
    <w:p w14:paraId="0365A202" w14:textId="5FAA344D" w:rsidR="00A24205" w:rsidRPr="00757AE7" w:rsidRDefault="0001124E" w:rsidP="00862EE4">
      <w:pPr>
        <w:shd w:val="clear" w:color="auto" w:fill="FFFFFF"/>
        <w:spacing w:before="120" w:after="120" w:line="340" w:lineRule="atLeast"/>
        <w:ind w:firstLine="720"/>
        <w:jc w:val="both"/>
        <w:rPr>
          <w:spacing w:val="-1"/>
          <w:sz w:val="28"/>
          <w:szCs w:val="28"/>
        </w:rPr>
      </w:pPr>
      <w:r w:rsidRPr="00757AE7">
        <w:rPr>
          <w:rStyle w:val="Vnbnnidung"/>
          <w:rFonts w:eastAsiaTheme="majorEastAsia"/>
          <w:spacing w:val="-1"/>
          <w:sz w:val="28"/>
          <w:szCs w:val="28"/>
        </w:rPr>
        <w:t xml:space="preserve">Nghị quyết này quy định </w:t>
      </w:r>
      <w:r w:rsidR="00380775" w:rsidRPr="00757AE7">
        <w:rPr>
          <w:spacing w:val="-1"/>
          <w:sz w:val="28"/>
          <w:szCs w:val="28"/>
        </w:rPr>
        <w:t xml:space="preserve">mức cho vay, thời hạn cho vay, lãi suất cho vay </w:t>
      </w:r>
      <w:r w:rsidR="00A24205" w:rsidRPr="00757AE7">
        <w:rPr>
          <w:spacing w:val="-1"/>
          <w:sz w:val="28"/>
          <w:szCs w:val="28"/>
        </w:rPr>
        <w:t xml:space="preserve">và các khoản nợ bị rủi ro ngoài phạm vi đối tượng và nguyên nhân khách quan được xem xét xử lý rủi ro theo quy định của Thủ tướng Chính phủ </w:t>
      </w:r>
      <w:r w:rsidR="00380775" w:rsidRPr="00757AE7">
        <w:rPr>
          <w:spacing w:val="-1"/>
          <w:sz w:val="28"/>
          <w:szCs w:val="28"/>
        </w:rPr>
        <w:t>đối với nguồn vốn ngân sách địa phương uỷ thác qua Ngân hàng Chính sách xã hội để cho vay đối với người nghèo và các đối tượng chính sách khác</w:t>
      </w:r>
      <w:r w:rsidR="00380775" w:rsidRPr="00757AE7">
        <w:rPr>
          <w:b/>
          <w:spacing w:val="-1"/>
          <w:sz w:val="28"/>
          <w:szCs w:val="28"/>
        </w:rPr>
        <w:t xml:space="preserve"> </w:t>
      </w:r>
      <w:r w:rsidR="00380775" w:rsidRPr="00757AE7">
        <w:rPr>
          <w:spacing w:val="-1"/>
          <w:sz w:val="28"/>
          <w:szCs w:val="28"/>
        </w:rPr>
        <w:t>trên địa bàn tỉnh Quảng Trị</w:t>
      </w:r>
      <w:r w:rsidR="009602CF" w:rsidRPr="00757AE7">
        <w:rPr>
          <w:spacing w:val="-1"/>
          <w:sz w:val="28"/>
          <w:szCs w:val="28"/>
        </w:rPr>
        <w:t>.</w:t>
      </w:r>
    </w:p>
    <w:p w14:paraId="2789EFCA" w14:textId="4BAFD38B" w:rsidR="004B7988" w:rsidRPr="0094707E" w:rsidRDefault="00A24205" w:rsidP="00862EE4">
      <w:pPr>
        <w:shd w:val="clear" w:color="auto" w:fill="FFFFFF"/>
        <w:spacing w:before="120" w:after="120" w:line="340" w:lineRule="atLeast"/>
        <w:ind w:firstLine="720"/>
        <w:jc w:val="both"/>
        <w:rPr>
          <w:sz w:val="28"/>
          <w:szCs w:val="28"/>
        </w:rPr>
      </w:pPr>
      <w:r w:rsidRPr="0094707E">
        <w:rPr>
          <w:sz w:val="28"/>
          <w:szCs w:val="28"/>
        </w:rPr>
        <w:t xml:space="preserve">2. </w:t>
      </w:r>
      <w:r w:rsidR="00314051" w:rsidRPr="0094707E">
        <w:rPr>
          <w:sz w:val="28"/>
          <w:szCs w:val="28"/>
        </w:rPr>
        <w:t>Đối tượng áp dụng</w:t>
      </w:r>
    </w:p>
    <w:p w14:paraId="45BCBACC" w14:textId="68C64EDD" w:rsidR="004B7988" w:rsidRPr="0094707E" w:rsidRDefault="004B7988" w:rsidP="00862EE4">
      <w:pPr>
        <w:shd w:val="clear" w:color="auto" w:fill="FFFFFF"/>
        <w:spacing w:before="120" w:after="120" w:line="340" w:lineRule="atLeast"/>
        <w:ind w:firstLine="720"/>
        <w:jc w:val="both"/>
        <w:rPr>
          <w:sz w:val="28"/>
          <w:szCs w:val="28"/>
        </w:rPr>
      </w:pPr>
      <w:r w:rsidRPr="0094707E">
        <w:rPr>
          <w:sz w:val="28"/>
          <w:szCs w:val="28"/>
        </w:rPr>
        <w:t>Cơ quan Nhà nước; Ngân hàng Chính sách xã hội; Người nghèo và các đối tượng chính sách khác được vay vốn tín dụng chính sách qua NHCSXH trên địa bàn tỉnh Quảng Trị; các tổ chức chính trị - xã hội nhận ủy thác, Ban quản lý Tổ Tiết kiệm và vay vốn và các tổ chức, cá nhân có liên quan đến việc thực hiện chính sách</w:t>
      </w:r>
      <w:r w:rsidR="00176B76" w:rsidRPr="0094707E">
        <w:rPr>
          <w:sz w:val="28"/>
          <w:szCs w:val="28"/>
        </w:rPr>
        <w:t>.</w:t>
      </w:r>
    </w:p>
    <w:p w14:paraId="4CB8EC3C" w14:textId="46753D9F" w:rsidR="0001124E" w:rsidRPr="0094707E" w:rsidRDefault="0001124E" w:rsidP="00862EE4">
      <w:pPr>
        <w:pStyle w:val="Vnbnnidung0"/>
        <w:spacing w:before="120" w:after="120" w:line="340" w:lineRule="atLeast"/>
        <w:ind w:firstLine="720"/>
        <w:jc w:val="both"/>
        <w:rPr>
          <w:rStyle w:val="Vnbnnidung"/>
          <w:rFonts w:eastAsiaTheme="majorEastAsia"/>
          <w:b/>
          <w:sz w:val="28"/>
          <w:szCs w:val="28"/>
        </w:rPr>
      </w:pPr>
      <w:r w:rsidRPr="0094707E">
        <w:rPr>
          <w:rStyle w:val="Vnbnnidung"/>
          <w:rFonts w:eastAsiaTheme="majorEastAsia"/>
          <w:b/>
          <w:bCs/>
          <w:sz w:val="28"/>
          <w:szCs w:val="28"/>
        </w:rPr>
        <w:t xml:space="preserve">Điều </w:t>
      </w:r>
      <w:r w:rsidR="00BC77FD" w:rsidRPr="0094707E">
        <w:rPr>
          <w:rStyle w:val="Vnbnnidung"/>
          <w:rFonts w:eastAsiaTheme="majorEastAsia"/>
          <w:b/>
          <w:bCs/>
          <w:sz w:val="28"/>
          <w:szCs w:val="28"/>
        </w:rPr>
        <w:t>2</w:t>
      </w:r>
      <w:r w:rsidRPr="0094707E">
        <w:rPr>
          <w:rStyle w:val="Vnbnnidung"/>
          <w:rFonts w:eastAsiaTheme="majorEastAsia"/>
          <w:b/>
          <w:bCs/>
          <w:sz w:val="28"/>
          <w:szCs w:val="28"/>
        </w:rPr>
        <w:t xml:space="preserve">. </w:t>
      </w:r>
      <w:r w:rsidRPr="0094707E">
        <w:rPr>
          <w:rStyle w:val="Vnbnnidung"/>
          <w:rFonts w:eastAsiaTheme="majorEastAsia"/>
          <w:b/>
          <w:sz w:val="28"/>
          <w:szCs w:val="28"/>
        </w:rPr>
        <w:t>Mức cho vay</w:t>
      </w:r>
      <w:r w:rsidR="00BC77FD" w:rsidRPr="0094707E">
        <w:rPr>
          <w:rStyle w:val="Vnbnnidung"/>
          <w:rFonts w:eastAsiaTheme="majorEastAsia"/>
          <w:b/>
          <w:sz w:val="28"/>
          <w:szCs w:val="28"/>
        </w:rPr>
        <w:t>, lãi suất cho vay, thời hạn cho vay</w:t>
      </w:r>
    </w:p>
    <w:p w14:paraId="440F6E70" w14:textId="46227162" w:rsidR="005606FB" w:rsidRPr="0094707E" w:rsidRDefault="00785D50" w:rsidP="00862EE4">
      <w:pPr>
        <w:pStyle w:val="Vnbnnidung0"/>
        <w:tabs>
          <w:tab w:val="left" w:pos="2436"/>
        </w:tabs>
        <w:spacing w:before="120" w:after="120" w:line="340" w:lineRule="atLeast"/>
        <w:ind w:firstLine="720"/>
        <w:jc w:val="both"/>
        <w:rPr>
          <w:rStyle w:val="Vnbnnidung"/>
          <w:rFonts w:eastAsiaTheme="majorEastAsia"/>
          <w:sz w:val="28"/>
          <w:szCs w:val="28"/>
        </w:rPr>
      </w:pPr>
      <w:r w:rsidRPr="0094707E">
        <w:rPr>
          <w:rStyle w:val="Vnbnnidung"/>
          <w:rFonts w:eastAsiaTheme="majorEastAsia"/>
          <w:sz w:val="28"/>
          <w:szCs w:val="28"/>
        </w:rPr>
        <w:t xml:space="preserve">1. </w:t>
      </w:r>
      <w:r w:rsidR="005606FB" w:rsidRPr="0094707E">
        <w:rPr>
          <w:rStyle w:val="Vnbnnidung"/>
          <w:rFonts w:eastAsiaTheme="majorEastAsia"/>
          <w:sz w:val="28"/>
          <w:szCs w:val="28"/>
        </w:rPr>
        <w:t xml:space="preserve">Mức cho vay, lãi suất cho vay, thời hạn cho vay </w:t>
      </w:r>
      <w:r w:rsidR="00363654">
        <w:rPr>
          <w:rStyle w:val="Vnbnnidung"/>
          <w:rFonts w:eastAsiaTheme="majorEastAsia"/>
          <w:sz w:val="28"/>
          <w:szCs w:val="28"/>
        </w:rPr>
        <w:t xml:space="preserve">được </w:t>
      </w:r>
      <w:r w:rsidR="005606FB" w:rsidRPr="0094707E">
        <w:rPr>
          <w:rStyle w:val="Vnbnnidung"/>
          <w:rFonts w:eastAsiaTheme="majorEastAsia"/>
          <w:sz w:val="28"/>
          <w:szCs w:val="28"/>
        </w:rPr>
        <w:t>áp dụng theo quy định của Chính phủ, Thủ tướng Chính phủ, Ngân hàng Chính sách xã hội theo từng thời kỳ.</w:t>
      </w:r>
    </w:p>
    <w:p w14:paraId="5035BC77" w14:textId="02B8D3B2" w:rsidR="005606FB" w:rsidRPr="0094707E" w:rsidRDefault="00785D50" w:rsidP="00862EE4">
      <w:pPr>
        <w:pStyle w:val="Vnbnnidung0"/>
        <w:tabs>
          <w:tab w:val="left" w:pos="2436"/>
        </w:tabs>
        <w:spacing w:before="120" w:after="120" w:line="340" w:lineRule="atLeast"/>
        <w:ind w:firstLine="720"/>
        <w:jc w:val="both"/>
        <w:rPr>
          <w:rFonts w:eastAsiaTheme="majorEastAsia"/>
          <w:sz w:val="28"/>
          <w:szCs w:val="28"/>
        </w:rPr>
      </w:pPr>
      <w:r w:rsidRPr="0094707E">
        <w:rPr>
          <w:sz w:val="28"/>
          <w:szCs w:val="28"/>
          <w:shd w:val="clear" w:color="auto" w:fill="FFFFFF"/>
        </w:rPr>
        <w:t xml:space="preserve">2. </w:t>
      </w:r>
      <w:r w:rsidR="005606FB" w:rsidRPr="0094707E">
        <w:rPr>
          <w:sz w:val="28"/>
          <w:szCs w:val="28"/>
          <w:shd w:val="clear" w:color="auto" w:fill="FFFFFF"/>
        </w:rPr>
        <w:t xml:space="preserve">Trường hợp Chính phủ hỗ trợ giảm lãi suất cho vay do thiên tai, dịch bệnh hoặc nguyên nhân khách quan khác thì lãi suất cho vay từ nguồn vốn </w:t>
      </w:r>
      <w:r w:rsidR="005606FB" w:rsidRPr="0094707E">
        <w:rPr>
          <w:sz w:val="28"/>
          <w:szCs w:val="28"/>
        </w:rPr>
        <w:t xml:space="preserve">ngân sách địa phương uỷ thác qua Ngân hàng Chính sách xã hội </w:t>
      </w:r>
      <w:r w:rsidR="005606FB" w:rsidRPr="0094707E">
        <w:rPr>
          <w:sz w:val="28"/>
          <w:szCs w:val="28"/>
          <w:shd w:val="clear" w:color="auto" w:fill="FFFFFF"/>
        </w:rPr>
        <w:t>sẽ được giảm tương ứng như mức giảm lãi suất cho vay theo Quyết định của Thủ tướng Chính phủ.</w:t>
      </w:r>
    </w:p>
    <w:p w14:paraId="4BFFA5FE" w14:textId="108EF4FC" w:rsidR="000F29E6" w:rsidRPr="0094707E" w:rsidRDefault="000F29E6" w:rsidP="00862EE4">
      <w:pPr>
        <w:pStyle w:val="Vnbnnidung0"/>
        <w:spacing w:before="120" w:after="120" w:line="340" w:lineRule="atLeast"/>
        <w:ind w:firstLine="720"/>
        <w:jc w:val="both"/>
        <w:rPr>
          <w:b/>
          <w:sz w:val="28"/>
          <w:szCs w:val="28"/>
        </w:rPr>
      </w:pPr>
      <w:r w:rsidRPr="0094707E">
        <w:rPr>
          <w:rStyle w:val="Vnbnnidung"/>
          <w:rFonts w:eastAsiaTheme="majorEastAsia"/>
          <w:b/>
          <w:bCs/>
          <w:sz w:val="28"/>
          <w:szCs w:val="28"/>
        </w:rPr>
        <w:t xml:space="preserve">Điều 3. </w:t>
      </w:r>
      <w:r w:rsidR="00426003" w:rsidRPr="0094707E">
        <w:rPr>
          <w:rStyle w:val="Vnbnnidung"/>
          <w:rFonts w:eastAsiaTheme="majorEastAsia"/>
          <w:b/>
          <w:sz w:val="28"/>
          <w:szCs w:val="28"/>
        </w:rPr>
        <w:t>Các khoản nợ bị rủi ro ngoài phạm vi đối tượng và nguyên nhân khách quan được xem xét xử lý rủi ro theo quy định của Thủ tướng Chính phủ</w:t>
      </w:r>
    </w:p>
    <w:p w14:paraId="7E777512" w14:textId="46DCD561" w:rsidR="0044691F" w:rsidRPr="006F3E7C" w:rsidRDefault="00EC121E" w:rsidP="00C64105">
      <w:pPr>
        <w:pStyle w:val="Vnbnnidung0"/>
        <w:spacing w:before="120" w:after="120" w:line="340" w:lineRule="atLeast"/>
        <w:ind w:firstLine="720"/>
        <w:jc w:val="both"/>
        <w:rPr>
          <w:rStyle w:val="Vnbnnidung"/>
          <w:rFonts w:eastAsiaTheme="majorEastAsia"/>
          <w:sz w:val="28"/>
          <w:szCs w:val="28"/>
        </w:rPr>
      </w:pPr>
      <w:r w:rsidRPr="006F3E7C">
        <w:rPr>
          <w:rStyle w:val="Vnbnnidung"/>
          <w:rFonts w:eastAsiaTheme="majorEastAsia"/>
          <w:sz w:val="28"/>
          <w:szCs w:val="28"/>
        </w:rPr>
        <w:t>Đối với các khoản nợ bị rủi ro ngoài phạm vi đối tượng và nguyên nhân khách quan được xem xét xử lý rủi ro theo quy định của Thủ tướng Chính ph</w:t>
      </w:r>
      <w:r w:rsidR="0044691F" w:rsidRPr="006F3E7C">
        <w:rPr>
          <w:rStyle w:val="Vnbnnidung"/>
          <w:rFonts w:eastAsiaTheme="majorEastAsia"/>
          <w:sz w:val="28"/>
          <w:szCs w:val="28"/>
        </w:rPr>
        <w:t>ủ</w:t>
      </w:r>
      <w:r w:rsidRPr="006F3E7C">
        <w:rPr>
          <w:rStyle w:val="Vnbnnidung"/>
          <w:rFonts w:eastAsiaTheme="majorEastAsia"/>
          <w:sz w:val="28"/>
          <w:szCs w:val="28"/>
        </w:rPr>
        <w:t xml:space="preserve"> về cơ chế xử lý nợ bị rủi ro tại </w:t>
      </w:r>
      <w:r w:rsidR="006F3E7C" w:rsidRPr="006F3E7C">
        <w:rPr>
          <w:rStyle w:val="Vnbnnidung"/>
          <w:rFonts w:eastAsiaTheme="majorEastAsia"/>
          <w:sz w:val="28"/>
          <w:szCs w:val="28"/>
        </w:rPr>
        <w:t>Ngân hàng Chính sách xã hội</w:t>
      </w:r>
      <w:r w:rsidR="00691925">
        <w:rPr>
          <w:rStyle w:val="Vnbnnidung"/>
          <w:rFonts w:eastAsiaTheme="majorEastAsia"/>
          <w:sz w:val="28"/>
          <w:szCs w:val="28"/>
        </w:rPr>
        <w:t>.</w:t>
      </w:r>
      <w:r w:rsidRPr="006F3E7C">
        <w:rPr>
          <w:rStyle w:val="Vnbnnidung"/>
          <w:rFonts w:eastAsiaTheme="majorEastAsia"/>
          <w:sz w:val="28"/>
          <w:szCs w:val="28"/>
        </w:rPr>
        <w:t xml:space="preserve"> </w:t>
      </w:r>
      <w:r w:rsidR="00691925">
        <w:rPr>
          <w:rStyle w:val="Vnbnnidung"/>
          <w:rFonts w:eastAsiaTheme="majorEastAsia"/>
          <w:sz w:val="28"/>
          <w:szCs w:val="28"/>
        </w:rPr>
        <w:t>G</w:t>
      </w:r>
      <w:r w:rsidR="00C64105" w:rsidRPr="006F3E7C">
        <w:rPr>
          <w:rStyle w:val="Vnbnnidung"/>
          <w:rFonts w:eastAsiaTheme="majorEastAsia"/>
          <w:sz w:val="28"/>
          <w:szCs w:val="28"/>
        </w:rPr>
        <w:t>iao Uỷ ban nhân dân tỉnh xem xét</w:t>
      </w:r>
      <w:r w:rsidR="0044691F" w:rsidRPr="006F3E7C">
        <w:rPr>
          <w:rStyle w:val="Vnbnnidung"/>
          <w:rFonts w:eastAsiaTheme="majorEastAsia"/>
          <w:sz w:val="28"/>
          <w:szCs w:val="28"/>
        </w:rPr>
        <w:t>, quyết định</w:t>
      </w:r>
      <w:r w:rsidR="00B00F36" w:rsidRPr="006F3E7C">
        <w:rPr>
          <w:rStyle w:val="Vnbnnidung"/>
          <w:rFonts w:eastAsiaTheme="majorEastAsia"/>
          <w:sz w:val="28"/>
          <w:szCs w:val="28"/>
        </w:rPr>
        <w:t xml:space="preserve"> </w:t>
      </w:r>
      <w:r w:rsidR="00CD2EC6" w:rsidRPr="00F31353">
        <w:rPr>
          <w:rStyle w:val="Vnbnnidung"/>
          <w:rFonts w:eastAsiaTheme="majorEastAsia"/>
          <w:sz w:val="28"/>
          <w:szCs w:val="28"/>
        </w:rPr>
        <w:t xml:space="preserve">tuỳ theo từng trường hợp cụ thể </w:t>
      </w:r>
      <w:r w:rsidR="00B00F36" w:rsidRPr="006F3E7C">
        <w:rPr>
          <w:rStyle w:val="Vnbnnidung"/>
          <w:rFonts w:eastAsiaTheme="majorEastAsia"/>
          <w:sz w:val="28"/>
          <w:szCs w:val="28"/>
        </w:rPr>
        <w:t xml:space="preserve">và báo cáo kết quả xử lý rủi ro tại </w:t>
      </w:r>
      <w:r w:rsidR="00691925">
        <w:rPr>
          <w:rStyle w:val="Vnbnnidung"/>
          <w:rFonts w:eastAsiaTheme="majorEastAsia"/>
          <w:sz w:val="28"/>
          <w:szCs w:val="28"/>
        </w:rPr>
        <w:t>kỳ</w:t>
      </w:r>
      <w:r w:rsidR="00B00F36" w:rsidRPr="006F3E7C">
        <w:rPr>
          <w:rStyle w:val="Vnbnnidung"/>
          <w:rFonts w:eastAsiaTheme="majorEastAsia"/>
          <w:sz w:val="28"/>
          <w:szCs w:val="28"/>
        </w:rPr>
        <w:t xml:space="preserve"> họp Hội đồng nhân dân tỉnh gần nhất.</w:t>
      </w:r>
    </w:p>
    <w:p w14:paraId="156E23A0" w14:textId="2C8CCD88" w:rsidR="00C64105" w:rsidRPr="00960341" w:rsidRDefault="00C64105" w:rsidP="00862EE4">
      <w:pPr>
        <w:pStyle w:val="Vnbnnidung0"/>
        <w:spacing w:before="120" w:after="120" w:line="340" w:lineRule="atLeast"/>
        <w:ind w:firstLine="720"/>
        <w:jc w:val="both"/>
        <w:rPr>
          <w:rStyle w:val="Vnbnnidung"/>
          <w:rFonts w:eastAsiaTheme="majorEastAsia"/>
          <w:b/>
          <w:sz w:val="28"/>
          <w:szCs w:val="28"/>
        </w:rPr>
      </w:pPr>
      <w:r w:rsidRPr="00960341">
        <w:rPr>
          <w:rStyle w:val="Vnbnnidung"/>
          <w:rFonts w:eastAsiaTheme="majorEastAsia"/>
          <w:b/>
          <w:sz w:val="28"/>
          <w:szCs w:val="28"/>
        </w:rPr>
        <w:t>Điều 4. Nguồn kinh phí thực hiện</w:t>
      </w:r>
    </w:p>
    <w:p w14:paraId="30B5B2AC" w14:textId="60A19E70" w:rsidR="00C64105" w:rsidRPr="00960341" w:rsidRDefault="00960341" w:rsidP="00862EE4">
      <w:pPr>
        <w:pStyle w:val="Vnbnnidung0"/>
        <w:spacing w:before="120" w:after="120" w:line="340" w:lineRule="atLeast"/>
        <w:ind w:firstLine="720"/>
        <w:jc w:val="both"/>
        <w:rPr>
          <w:rStyle w:val="Vnbnnidung"/>
          <w:rFonts w:eastAsiaTheme="majorEastAsia"/>
          <w:sz w:val="28"/>
          <w:szCs w:val="28"/>
        </w:rPr>
      </w:pPr>
      <w:r>
        <w:rPr>
          <w:rStyle w:val="Vnbnnidung"/>
          <w:rFonts w:eastAsiaTheme="majorEastAsia"/>
          <w:sz w:val="28"/>
          <w:szCs w:val="28"/>
        </w:rPr>
        <w:t xml:space="preserve">Nguồn vốn ngân sách tỉnh trích hàng năm uỷ thác qua Chi nhánh </w:t>
      </w:r>
      <w:r w:rsidR="006F3E7C">
        <w:rPr>
          <w:rStyle w:val="Vnbnnidung"/>
          <w:rFonts w:eastAsiaTheme="majorEastAsia"/>
          <w:sz w:val="28"/>
          <w:szCs w:val="28"/>
        </w:rPr>
        <w:t>Ngân hàng Chính sách xã hội</w:t>
      </w:r>
      <w:r>
        <w:rPr>
          <w:rStyle w:val="Vnbnnidung"/>
          <w:rFonts w:eastAsiaTheme="majorEastAsia"/>
          <w:sz w:val="28"/>
          <w:szCs w:val="28"/>
        </w:rPr>
        <w:t xml:space="preserve"> tỉnh để cho vay </w:t>
      </w:r>
      <w:r w:rsidRPr="00960341">
        <w:rPr>
          <w:sz w:val="28"/>
          <w:szCs w:val="28"/>
        </w:rPr>
        <w:t>đối với người nghèo và các đối tượng chính sách khác</w:t>
      </w:r>
      <w:r w:rsidR="00FF7C17">
        <w:rPr>
          <w:sz w:val="28"/>
          <w:szCs w:val="28"/>
        </w:rPr>
        <w:t xml:space="preserve"> trên địa bàn tỉnh Quảng Trị</w:t>
      </w:r>
      <w:r>
        <w:rPr>
          <w:sz w:val="28"/>
          <w:szCs w:val="28"/>
        </w:rPr>
        <w:t>.</w:t>
      </w:r>
    </w:p>
    <w:p w14:paraId="0319F8C3" w14:textId="3FBA1D17" w:rsidR="0001124E" w:rsidRPr="0094707E" w:rsidRDefault="0001124E" w:rsidP="00862EE4">
      <w:pPr>
        <w:pStyle w:val="Vnbnnidung0"/>
        <w:spacing w:before="120" w:after="120" w:line="340" w:lineRule="atLeast"/>
        <w:ind w:firstLine="720"/>
        <w:jc w:val="both"/>
        <w:rPr>
          <w:b/>
          <w:sz w:val="28"/>
          <w:szCs w:val="28"/>
        </w:rPr>
      </w:pPr>
      <w:r w:rsidRPr="0094707E">
        <w:rPr>
          <w:rStyle w:val="Vnbnnidung"/>
          <w:rFonts w:eastAsiaTheme="majorEastAsia"/>
          <w:b/>
          <w:bCs/>
          <w:sz w:val="28"/>
          <w:szCs w:val="28"/>
        </w:rPr>
        <w:t xml:space="preserve">Điều </w:t>
      </w:r>
      <w:r w:rsidR="00960341">
        <w:rPr>
          <w:rStyle w:val="Vnbnnidung"/>
          <w:rFonts w:eastAsiaTheme="majorEastAsia"/>
          <w:b/>
          <w:bCs/>
          <w:sz w:val="28"/>
          <w:szCs w:val="28"/>
        </w:rPr>
        <w:t>5</w:t>
      </w:r>
      <w:r w:rsidRPr="0094707E">
        <w:rPr>
          <w:rStyle w:val="Vnbnnidung"/>
          <w:rFonts w:eastAsiaTheme="majorEastAsia"/>
          <w:b/>
          <w:bCs/>
          <w:sz w:val="28"/>
          <w:szCs w:val="28"/>
        </w:rPr>
        <w:t xml:space="preserve">. </w:t>
      </w:r>
      <w:r w:rsidR="00B24958" w:rsidRPr="0094707E">
        <w:rPr>
          <w:rStyle w:val="Vnbnnidung"/>
          <w:rFonts w:eastAsiaTheme="majorEastAsia"/>
          <w:b/>
          <w:sz w:val="28"/>
          <w:szCs w:val="28"/>
        </w:rPr>
        <w:t>T</w:t>
      </w:r>
      <w:r w:rsidRPr="0094707E">
        <w:rPr>
          <w:rStyle w:val="Vnbnnidung"/>
          <w:rFonts w:eastAsiaTheme="majorEastAsia"/>
          <w:b/>
          <w:sz w:val="28"/>
          <w:szCs w:val="28"/>
        </w:rPr>
        <w:t>ổ chức thực hiện</w:t>
      </w:r>
    </w:p>
    <w:p w14:paraId="5D5866C9" w14:textId="77777777" w:rsidR="00EA1247" w:rsidRPr="00EA1247" w:rsidRDefault="00EA1247" w:rsidP="00EA1247">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sz w:val="28"/>
          <w:szCs w:val="28"/>
        </w:rPr>
      </w:pPr>
      <w:r w:rsidRPr="00EA1247">
        <w:rPr>
          <w:sz w:val="28"/>
          <w:szCs w:val="28"/>
        </w:rPr>
        <w:t>1. Giao Ủy ban nhân dân tỉnh tổ chức thực hiện Nghị quyết.</w:t>
      </w:r>
    </w:p>
    <w:p w14:paraId="236C02D1" w14:textId="77777777" w:rsidR="00EA1247" w:rsidRPr="00EA1247" w:rsidRDefault="00EA1247" w:rsidP="00EA1247">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sz w:val="28"/>
          <w:szCs w:val="28"/>
        </w:rPr>
      </w:pPr>
      <w:r w:rsidRPr="00EA1247">
        <w:rPr>
          <w:sz w:val="28"/>
          <w:szCs w:val="28"/>
        </w:rPr>
        <w:t xml:space="preserve">2. Thường trực Hội đồng nhân dân tỉnh, các Ban của Hội đồng nhân dân tỉnh, </w:t>
      </w:r>
      <w:r w:rsidRPr="00EA1247">
        <w:rPr>
          <w:sz w:val="28"/>
          <w:szCs w:val="28"/>
        </w:rPr>
        <w:lastRenderedPageBreak/>
        <w:t>các Tổ đại biểu Hội đồng nhân dân và đại biểu Hội đồng nhân dân tỉnh phối hợp với Ban Thường trực Ủy ban Mặt trận Tổ quốc Việt Nam tỉnh giám sát việc thực hiện Nghị quyết.</w:t>
      </w:r>
    </w:p>
    <w:p w14:paraId="0BEDD91B" w14:textId="67037484" w:rsidR="008A6369" w:rsidRPr="0094707E" w:rsidRDefault="008A6369" w:rsidP="00862EE4">
      <w:pPr>
        <w:spacing w:before="120" w:after="120" w:line="340" w:lineRule="atLeast"/>
        <w:ind w:firstLine="720"/>
        <w:jc w:val="both"/>
        <w:rPr>
          <w:sz w:val="28"/>
          <w:szCs w:val="28"/>
        </w:rPr>
      </w:pPr>
      <w:r w:rsidRPr="0094707E">
        <w:rPr>
          <w:i/>
          <w:iCs/>
          <w:sz w:val="28"/>
          <w:szCs w:val="28"/>
        </w:rPr>
        <w:t xml:space="preserve">Nghị quyết này đã được Hội đồng nhân dân tỉnh Quảng Trị khóa </w:t>
      </w:r>
      <w:r w:rsidR="00BD1502" w:rsidRPr="0094707E">
        <w:rPr>
          <w:i/>
          <w:iCs/>
          <w:sz w:val="28"/>
          <w:szCs w:val="28"/>
        </w:rPr>
        <w:t xml:space="preserve"> </w:t>
      </w:r>
      <w:r w:rsidRPr="0094707E">
        <w:rPr>
          <w:i/>
          <w:iCs/>
          <w:sz w:val="28"/>
          <w:szCs w:val="28"/>
        </w:rPr>
        <w:t xml:space="preserve">   Kỳ họp thứ </w:t>
      </w:r>
      <w:r w:rsidR="005F5866">
        <w:rPr>
          <w:i/>
          <w:iCs/>
          <w:sz w:val="28"/>
          <w:szCs w:val="28"/>
        </w:rPr>
        <w:t>5</w:t>
      </w:r>
      <w:bookmarkStart w:id="1" w:name="_GoBack"/>
      <w:bookmarkEnd w:id="1"/>
      <w:r w:rsidRPr="0094707E">
        <w:rPr>
          <w:i/>
          <w:iCs/>
          <w:sz w:val="28"/>
          <w:szCs w:val="28"/>
        </w:rPr>
        <w:t xml:space="preserve"> thông qua ngày </w:t>
      </w:r>
      <w:r w:rsidR="009602CF" w:rsidRPr="0094707E">
        <w:rPr>
          <w:i/>
          <w:iCs/>
          <w:sz w:val="28"/>
          <w:szCs w:val="28"/>
        </w:rPr>
        <w:t xml:space="preserve">   </w:t>
      </w:r>
      <w:r w:rsidRPr="0094707E">
        <w:rPr>
          <w:i/>
          <w:iCs/>
          <w:sz w:val="28"/>
          <w:szCs w:val="28"/>
        </w:rPr>
        <w:t xml:space="preserve"> tháng </w:t>
      </w:r>
      <w:r w:rsidR="009602CF" w:rsidRPr="0094707E">
        <w:rPr>
          <w:i/>
          <w:iCs/>
          <w:sz w:val="28"/>
          <w:szCs w:val="28"/>
        </w:rPr>
        <w:t xml:space="preserve">  </w:t>
      </w:r>
      <w:r w:rsidRPr="0094707E">
        <w:rPr>
          <w:i/>
          <w:iCs/>
          <w:sz w:val="28"/>
          <w:szCs w:val="28"/>
        </w:rPr>
        <w:t xml:space="preserve">  năm 2025 và có hiệu lực kể từ ngày</w:t>
      </w:r>
      <w:r w:rsidR="009602CF" w:rsidRPr="0094707E">
        <w:rPr>
          <w:i/>
          <w:iCs/>
          <w:sz w:val="28"/>
          <w:szCs w:val="28"/>
        </w:rPr>
        <w:t xml:space="preserve">  </w:t>
      </w:r>
      <w:r w:rsidRPr="0094707E">
        <w:rPr>
          <w:i/>
          <w:iCs/>
          <w:sz w:val="28"/>
          <w:szCs w:val="28"/>
        </w:rPr>
        <w:t xml:space="preserve">  tháng </w:t>
      </w:r>
      <w:r w:rsidR="009602CF" w:rsidRPr="0094707E">
        <w:rPr>
          <w:i/>
          <w:iCs/>
          <w:sz w:val="28"/>
          <w:szCs w:val="28"/>
        </w:rPr>
        <w:t xml:space="preserve"> </w:t>
      </w:r>
      <w:r w:rsidRPr="0094707E">
        <w:rPr>
          <w:i/>
          <w:iCs/>
          <w:sz w:val="28"/>
          <w:szCs w:val="28"/>
        </w:rPr>
        <w:t xml:space="preserve"> năm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8A6369" w:rsidRPr="005F6E5E" w14:paraId="155F3D6E" w14:textId="77777777" w:rsidTr="0068580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28401C9" w14:textId="77777777" w:rsidR="00C67EC9" w:rsidRPr="005F6E5E" w:rsidRDefault="008A6369" w:rsidP="00C67EC9">
            <w:pPr>
              <w:rPr>
                <w:sz w:val="20"/>
              </w:rPr>
            </w:pPr>
            <w:r w:rsidRPr="005F6E5E">
              <w:rPr>
                <w:b/>
                <w:bCs/>
                <w:i/>
                <w:iCs/>
              </w:rPr>
              <w:br/>
            </w:r>
            <w:r w:rsidRPr="005F6E5E">
              <w:rPr>
                <w:b/>
                <w:bCs/>
                <w:i/>
                <w:iCs/>
                <w:sz w:val="24"/>
              </w:rPr>
              <w:t>Nơi nhận:</w:t>
            </w:r>
            <w:r w:rsidRPr="005F6E5E">
              <w:rPr>
                <w:b/>
                <w:bCs/>
                <w:i/>
                <w:iCs/>
                <w:sz w:val="20"/>
              </w:rPr>
              <w:br/>
            </w:r>
            <w:r w:rsidRPr="005F6E5E">
              <w:rPr>
                <w:sz w:val="20"/>
              </w:rPr>
              <w:t>- UBTVQH, Chính phủ;</w:t>
            </w:r>
          </w:p>
          <w:p w14:paraId="3EAE999B" w14:textId="041A8911" w:rsidR="008A6369" w:rsidRPr="005F6E5E" w:rsidRDefault="00C67EC9" w:rsidP="00C67EC9">
            <w:r w:rsidRPr="005F6E5E">
              <w:rPr>
                <w:sz w:val="20"/>
              </w:rPr>
              <w:t>-NHCSXH</w:t>
            </w:r>
            <w:r w:rsidR="008A6369" w:rsidRPr="005F6E5E">
              <w:rPr>
                <w:sz w:val="20"/>
              </w:rPr>
              <w:br/>
              <w:t>- Các Bộ: Nội vụ, Tài chính;</w:t>
            </w:r>
            <w:r w:rsidR="008A6369" w:rsidRPr="005F6E5E">
              <w:rPr>
                <w:sz w:val="20"/>
              </w:rPr>
              <w:br/>
              <w:t>- Cục Kiểm tra văn bản và quản lý xử lý vi phạm</w:t>
            </w:r>
            <w:r w:rsidR="008A6369" w:rsidRPr="005F6E5E">
              <w:rPr>
                <w:sz w:val="20"/>
              </w:rPr>
              <w:br/>
              <w:t>hành chính, Bộ Tư pháp;</w:t>
            </w:r>
            <w:r w:rsidR="008A6369" w:rsidRPr="005F6E5E">
              <w:rPr>
                <w:sz w:val="20"/>
              </w:rPr>
              <w:br/>
              <w:t>- Vụ Pháp chế các Bộ: Nội vụ, Tài chính;</w:t>
            </w:r>
            <w:r w:rsidR="008A6369" w:rsidRPr="005F6E5E">
              <w:rPr>
                <w:sz w:val="20"/>
              </w:rPr>
              <w:br/>
              <w:t>- Ban Thường vụ Tỉnh ủy;</w:t>
            </w:r>
            <w:r w:rsidR="008A6369" w:rsidRPr="005F6E5E">
              <w:rPr>
                <w:sz w:val="20"/>
              </w:rPr>
              <w:br/>
              <w:t>- Thường trực HĐND, UBND; UBMT TQVN tỉnh;</w:t>
            </w:r>
            <w:r w:rsidR="008A6369" w:rsidRPr="005F6E5E">
              <w:rPr>
                <w:sz w:val="20"/>
              </w:rPr>
              <w:br/>
              <w:t>- Đoàn ĐBQH tỉnh;</w:t>
            </w:r>
            <w:r w:rsidR="008A6369" w:rsidRPr="005F6E5E">
              <w:rPr>
                <w:sz w:val="20"/>
              </w:rPr>
              <w:br/>
              <w:t>- Các đại biểu HĐND tỉnh;</w:t>
            </w:r>
            <w:r w:rsidR="008A6369" w:rsidRPr="005F6E5E">
              <w:rPr>
                <w:sz w:val="20"/>
              </w:rPr>
              <w:br/>
              <w:t>- Các sở, ban, ngành, cơ quan cấp tỉnh;</w:t>
            </w:r>
            <w:r w:rsidR="008A6369" w:rsidRPr="005F6E5E">
              <w:rPr>
                <w:sz w:val="20"/>
              </w:rPr>
              <w:br/>
              <w:t>- Báo và Phát thanh - Truyền hình Quảng Trị;</w:t>
            </w:r>
            <w:r w:rsidR="008A6369" w:rsidRPr="005F6E5E">
              <w:rPr>
                <w:sz w:val="20"/>
              </w:rPr>
              <w:br/>
              <w:t>- Trung tâm điều hành thông tin tỉnh;</w:t>
            </w:r>
            <w:r w:rsidR="008A6369" w:rsidRPr="005F6E5E">
              <w:rPr>
                <w:sz w:val="20"/>
              </w:rPr>
              <w:br/>
              <w:t>- Thường trực HĐND, UBND cấp xã;</w:t>
            </w:r>
            <w:r w:rsidR="008A6369" w:rsidRPr="005F6E5E">
              <w:rPr>
                <w:sz w:val="20"/>
              </w:rPr>
              <w:b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B9B6FDC" w14:textId="77777777" w:rsidR="00407B71" w:rsidRPr="005F6E5E" w:rsidRDefault="008A6369" w:rsidP="00685809">
            <w:pPr>
              <w:spacing w:before="120"/>
              <w:jc w:val="center"/>
              <w:rPr>
                <w:b/>
                <w:bCs/>
              </w:rPr>
            </w:pPr>
            <w:r w:rsidRPr="005F6E5E">
              <w:rPr>
                <w:b/>
                <w:bCs/>
                <w:sz w:val="28"/>
              </w:rPr>
              <w:t>CHỦ TỊCH</w:t>
            </w:r>
            <w:r w:rsidRPr="005F6E5E">
              <w:rPr>
                <w:b/>
                <w:bCs/>
                <w:sz w:val="28"/>
              </w:rPr>
              <w:br/>
            </w:r>
            <w:r w:rsidRPr="005F6E5E">
              <w:rPr>
                <w:b/>
                <w:bCs/>
              </w:rPr>
              <w:br/>
            </w:r>
            <w:r w:rsidRPr="005F6E5E">
              <w:rPr>
                <w:b/>
                <w:bCs/>
              </w:rPr>
              <w:br/>
            </w:r>
            <w:r w:rsidRPr="005F6E5E">
              <w:rPr>
                <w:b/>
                <w:bCs/>
              </w:rPr>
              <w:br/>
            </w:r>
          </w:p>
          <w:p w14:paraId="4B479D02" w14:textId="48BB1181" w:rsidR="008A6369" w:rsidRPr="005F6E5E" w:rsidRDefault="008A6369" w:rsidP="00685809">
            <w:pPr>
              <w:spacing w:before="120"/>
              <w:jc w:val="center"/>
            </w:pPr>
            <w:r w:rsidRPr="005F6E5E">
              <w:rPr>
                <w:b/>
                <w:bCs/>
              </w:rPr>
              <w:br/>
            </w:r>
            <w:r w:rsidRPr="005F6E5E">
              <w:rPr>
                <w:b/>
                <w:bCs/>
                <w:sz w:val="28"/>
              </w:rPr>
              <w:t>Nguyễn Đăng Quang</w:t>
            </w:r>
          </w:p>
        </w:tc>
      </w:tr>
    </w:tbl>
    <w:p w14:paraId="2D7198B5" w14:textId="77777777" w:rsidR="00A87DE7" w:rsidRPr="005F6E5E" w:rsidRDefault="00A87DE7" w:rsidP="0029449B">
      <w:pPr>
        <w:pStyle w:val="Vnbnnidung0"/>
        <w:spacing w:before="120" w:after="0" w:line="360" w:lineRule="exact"/>
        <w:ind w:firstLine="720"/>
        <w:rPr>
          <w:rStyle w:val="Vnbnnidung"/>
          <w:rFonts w:eastAsiaTheme="majorEastAsia"/>
          <w:i/>
          <w:iCs/>
        </w:rPr>
      </w:pPr>
    </w:p>
    <w:p w14:paraId="288BAECB" w14:textId="77777777" w:rsidR="00A87DE7" w:rsidRPr="005F6E5E" w:rsidRDefault="00A87DE7" w:rsidP="0029449B">
      <w:pPr>
        <w:pStyle w:val="Vnbnnidung0"/>
        <w:spacing w:before="120" w:after="0" w:line="360" w:lineRule="exact"/>
        <w:ind w:firstLine="720"/>
      </w:pPr>
    </w:p>
    <w:p w14:paraId="0625225B" w14:textId="28DF9278" w:rsidR="0001124E" w:rsidRPr="005F6E5E" w:rsidRDefault="0001124E" w:rsidP="0001124E">
      <w:pPr>
        <w:pStyle w:val="Vnbnnidung20"/>
        <w:numPr>
          <w:ilvl w:val="0"/>
          <w:numId w:val="5"/>
        </w:numPr>
        <w:tabs>
          <w:tab w:val="left" w:pos="1381"/>
        </w:tabs>
        <w:spacing w:after="60"/>
      </w:pPr>
      <w:r w:rsidRPr="005F6E5E">
        <w:rPr>
          <w:rStyle w:val="Vnbnnidung2"/>
          <w:rFonts w:eastAsiaTheme="majorEastAsia"/>
        </w:rPr>
        <w:t>.</w:t>
      </w:r>
    </w:p>
    <w:p w14:paraId="1BC248D6" w14:textId="77777777" w:rsidR="00E97930" w:rsidRPr="005F6E5E" w:rsidRDefault="00E97930"/>
    <w:sectPr w:rsidR="00E97930" w:rsidRPr="005F6E5E" w:rsidSect="00426003">
      <w:headerReference w:type="default" r:id="rId8"/>
      <w:pgSz w:w="11907" w:h="16840" w:code="9"/>
      <w:pgMar w:top="1134" w:right="1134" w:bottom="1134" w:left="1701" w:header="706" w:footer="70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C3664" w14:textId="77777777" w:rsidR="005874A1" w:rsidRDefault="005874A1" w:rsidP="00B841E6">
      <w:r>
        <w:separator/>
      </w:r>
    </w:p>
  </w:endnote>
  <w:endnote w:type="continuationSeparator" w:id="0">
    <w:p w14:paraId="797FCDD4" w14:textId="77777777" w:rsidR="005874A1" w:rsidRDefault="005874A1" w:rsidP="00B8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5038A" w14:textId="77777777" w:rsidR="005874A1" w:rsidRDefault="005874A1" w:rsidP="00B841E6">
      <w:r>
        <w:separator/>
      </w:r>
    </w:p>
  </w:footnote>
  <w:footnote w:type="continuationSeparator" w:id="0">
    <w:p w14:paraId="5CD0CA58" w14:textId="77777777" w:rsidR="005874A1" w:rsidRDefault="005874A1" w:rsidP="00B8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241259"/>
      <w:docPartObj>
        <w:docPartGallery w:val="Page Numbers (Top of Page)"/>
        <w:docPartUnique/>
      </w:docPartObj>
    </w:sdtPr>
    <w:sdtEndPr>
      <w:rPr>
        <w:noProof/>
        <w:sz w:val="26"/>
        <w:szCs w:val="26"/>
      </w:rPr>
    </w:sdtEndPr>
    <w:sdtContent>
      <w:p w14:paraId="7396AC1F" w14:textId="7714C42A" w:rsidR="00685809" w:rsidRPr="00C33213" w:rsidRDefault="00685809">
        <w:pPr>
          <w:pStyle w:val="Header"/>
          <w:jc w:val="center"/>
          <w:rPr>
            <w:sz w:val="26"/>
            <w:szCs w:val="26"/>
          </w:rPr>
        </w:pPr>
        <w:r w:rsidRPr="00C33213">
          <w:rPr>
            <w:sz w:val="26"/>
            <w:szCs w:val="26"/>
          </w:rPr>
          <w:fldChar w:fldCharType="begin"/>
        </w:r>
        <w:r w:rsidRPr="00C33213">
          <w:rPr>
            <w:sz w:val="26"/>
            <w:szCs w:val="26"/>
          </w:rPr>
          <w:instrText xml:space="preserve"> PAGE   \* MERGEFORMAT </w:instrText>
        </w:r>
        <w:r w:rsidRPr="00C33213">
          <w:rPr>
            <w:sz w:val="26"/>
            <w:szCs w:val="26"/>
          </w:rPr>
          <w:fldChar w:fldCharType="separate"/>
        </w:r>
        <w:r w:rsidR="005F5866">
          <w:rPr>
            <w:noProof/>
            <w:sz w:val="26"/>
            <w:szCs w:val="26"/>
          </w:rPr>
          <w:t>3</w:t>
        </w:r>
        <w:r w:rsidRPr="00C33213">
          <w:rPr>
            <w:noProof/>
            <w:sz w:val="26"/>
            <w:szCs w:val="26"/>
          </w:rPr>
          <w:fldChar w:fldCharType="end"/>
        </w:r>
      </w:p>
    </w:sdtContent>
  </w:sdt>
  <w:p w14:paraId="00B2473F" w14:textId="77777777" w:rsidR="00685809" w:rsidRDefault="00685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6292"/>
    <w:multiLevelType w:val="hybridMultilevel"/>
    <w:tmpl w:val="C946FD2E"/>
    <w:lvl w:ilvl="0" w:tplc="422AA5CA">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97A3F"/>
    <w:multiLevelType w:val="multilevel"/>
    <w:tmpl w:val="310E4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96462"/>
    <w:multiLevelType w:val="hybridMultilevel"/>
    <w:tmpl w:val="FCF86812"/>
    <w:lvl w:ilvl="0" w:tplc="B95CA810">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CA7A55"/>
    <w:multiLevelType w:val="multilevel"/>
    <w:tmpl w:val="DB8AB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5C0E08"/>
    <w:multiLevelType w:val="multilevel"/>
    <w:tmpl w:val="D3E0BA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3061E3"/>
    <w:multiLevelType w:val="multilevel"/>
    <w:tmpl w:val="00481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AA3715"/>
    <w:multiLevelType w:val="multilevel"/>
    <w:tmpl w:val="D1180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6B"/>
    <w:rsid w:val="000058C0"/>
    <w:rsid w:val="00010B13"/>
    <w:rsid w:val="0001124E"/>
    <w:rsid w:val="00012819"/>
    <w:rsid w:val="00016A29"/>
    <w:rsid w:val="000274AD"/>
    <w:rsid w:val="00027EE7"/>
    <w:rsid w:val="00033C16"/>
    <w:rsid w:val="00036018"/>
    <w:rsid w:val="000378AD"/>
    <w:rsid w:val="00037B3E"/>
    <w:rsid w:val="00055AF0"/>
    <w:rsid w:val="0006275A"/>
    <w:rsid w:val="00065592"/>
    <w:rsid w:val="00083549"/>
    <w:rsid w:val="0009610A"/>
    <w:rsid w:val="000962AC"/>
    <w:rsid w:val="000A134A"/>
    <w:rsid w:val="000A3C54"/>
    <w:rsid w:val="000A3FAF"/>
    <w:rsid w:val="000A6E84"/>
    <w:rsid w:val="000B6676"/>
    <w:rsid w:val="000B6B87"/>
    <w:rsid w:val="000B75E7"/>
    <w:rsid w:val="000D1638"/>
    <w:rsid w:val="000E595E"/>
    <w:rsid w:val="000F0DFB"/>
    <w:rsid w:val="000F29E6"/>
    <w:rsid w:val="000F4537"/>
    <w:rsid w:val="00100E19"/>
    <w:rsid w:val="001011D0"/>
    <w:rsid w:val="00125BB3"/>
    <w:rsid w:val="00130E57"/>
    <w:rsid w:val="00135577"/>
    <w:rsid w:val="00143B89"/>
    <w:rsid w:val="00144885"/>
    <w:rsid w:val="00176B76"/>
    <w:rsid w:val="00181C80"/>
    <w:rsid w:val="00184F69"/>
    <w:rsid w:val="001972C1"/>
    <w:rsid w:val="001A0A52"/>
    <w:rsid w:val="001A126C"/>
    <w:rsid w:val="001B3638"/>
    <w:rsid w:val="001B3C7D"/>
    <w:rsid w:val="001C071E"/>
    <w:rsid w:val="001C7DD5"/>
    <w:rsid w:val="001D4C49"/>
    <w:rsid w:val="001E2E9D"/>
    <w:rsid w:val="001E68DC"/>
    <w:rsid w:val="001F474C"/>
    <w:rsid w:val="001F610E"/>
    <w:rsid w:val="001F7B88"/>
    <w:rsid w:val="002037FE"/>
    <w:rsid w:val="00214517"/>
    <w:rsid w:val="00216CEF"/>
    <w:rsid w:val="0021791E"/>
    <w:rsid w:val="00221BA4"/>
    <w:rsid w:val="0023298F"/>
    <w:rsid w:val="00233D6A"/>
    <w:rsid w:val="00237747"/>
    <w:rsid w:val="002513BC"/>
    <w:rsid w:val="002521CD"/>
    <w:rsid w:val="00253045"/>
    <w:rsid w:val="00256135"/>
    <w:rsid w:val="0025648E"/>
    <w:rsid w:val="0025688D"/>
    <w:rsid w:val="00257588"/>
    <w:rsid w:val="00257602"/>
    <w:rsid w:val="00266586"/>
    <w:rsid w:val="00267A11"/>
    <w:rsid w:val="00272DCB"/>
    <w:rsid w:val="00275817"/>
    <w:rsid w:val="002815D3"/>
    <w:rsid w:val="00281773"/>
    <w:rsid w:val="00291FCE"/>
    <w:rsid w:val="0029449B"/>
    <w:rsid w:val="002A6EC7"/>
    <w:rsid w:val="002A72BD"/>
    <w:rsid w:val="002A78F0"/>
    <w:rsid w:val="002B13BF"/>
    <w:rsid w:val="002B327D"/>
    <w:rsid w:val="002C7D87"/>
    <w:rsid w:val="002E0EDE"/>
    <w:rsid w:val="002E119C"/>
    <w:rsid w:val="002F4A21"/>
    <w:rsid w:val="003010F9"/>
    <w:rsid w:val="00311C49"/>
    <w:rsid w:val="00314051"/>
    <w:rsid w:val="00326821"/>
    <w:rsid w:val="00332795"/>
    <w:rsid w:val="003368D3"/>
    <w:rsid w:val="003503C4"/>
    <w:rsid w:val="003513B1"/>
    <w:rsid w:val="00351FDD"/>
    <w:rsid w:val="00355BFF"/>
    <w:rsid w:val="00360AC7"/>
    <w:rsid w:val="00360E3A"/>
    <w:rsid w:val="00362D0B"/>
    <w:rsid w:val="00363654"/>
    <w:rsid w:val="00365006"/>
    <w:rsid w:val="00373DB1"/>
    <w:rsid w:val="00377D86"/>
    <w:rsid w:val="00377FA7"/>
    <w:rsid w:val="00380775"/>
    <w:rsid w:val="00380A8E"/>
    <w:rsid w:val="00386255"/>
    <w:rsid w:val="003966F0"/>
    <w:rsid w:val="00396749"/>
    <w:rsid w:val="00397C7F"/>
    <w:rsid w:val="003A1F0C"/>
    <w:rsid w:val="003B1453"/>
    <w:rsid w:val="003B4ABA"/>
    <w:rsid w:val="003C0393"/>
    <w:rsid w:val="003C0510"/>
    <w:rsid w:val="003D5C91"/>
    <w:rsid w:val="003E2175"/>
    <w:rsid w:val="003E630A"/>
    <w:rsid w:val="003E793B"/>
    <w:rsid w:val="003F0522"/>
    <w:rsid w:val="00403040"/>
    <w:rsid w:val="004045B2"/>
    <w:rsid w:val="00405BAA"/>
    <w:rsid w:val="00407B71"/>
    <w:rsid w:val="00415359"/>
    <w:rsid w:val="00416634"/>
    <w:rsid w:val="00416C82"/>
    <w:rsid w:val="00417923"/>
    <w:rsid w:val="004231D4"/>
    <w:rsid w:val="00426003"/>
    <w:rsid w:val="004362A9"/>
    <w:rsid w:val="004408B7"/>
    <w:rsid w:val="0044691F"/>
    <w:rsid w:val="004563D0"/>
    <w:rsid w:val="00456AFE"/>
    <w:rsid w:val="00457245"/>
    <w:rsid w:val="00472406"/>
    <w:rsid w:val="004757FC"/>
    <w:rsid w:val="0047675E"/>
    <w:rsid w:val="00477ADC"/>
    <w:rsid w:val="004854AE"/>
    <w:rsid w:val="00491AE2"/>
    <w:rsid w:val="00496F5F"/>
    <w:rsid w:val="004A50DA"/>
    <w:rsid w:val="004A6DE7"/>
    <w:rsid w:val="004B11F3"/>
    <w:rsid w:val="004B7988"/>
    <w:rsid w:val="004C3456"/>
    <w:rsid w:val="004C5BBD"/>
    <w:rsid w:val="004D495A"/>
    <w:rsid w:val="004E47F8"/>
    <w:rsid w:val="004E4D42"/>
    <w:rsid w:val="004E5636"/>
    <w:rsid w:val="004E626B"/>
    <w:rsid w:val="004F14E4"/>
    <w:rsid w:val="004F544C"/>
    <w:rsid w:val="004F6CA6"/>
    <w:rsid w:val="005012BB"/>
    <w:rsid w:val="005032EA"/>
    <w:rsid w:val="0050517F"/>
    <w:rsid w:val="005117B8"/>
    <w:rsid w:val="00516DD6"/>
    <w:rsid w:val="00527C9B"/>
    <w:rsid w:val="00531E2F"/>
    <w:rsid w:val="0053343F"/>
    <w:rsid w:val="00542DC5"/>
    <w:rsid w:val="00547A7A"/>
    <w:rsid w:val="00551085"/>
    <w:rsid w:val="00557BB4"/>
    <w:rsid w:val="005606FB"/>
    <w:rsid w:val="005607D5"/>
    <w:rsid w:val="00564DE5"/>
    <w:rsid w:val="00574020"/>
    <w:rsid w:val="00576C56"/>
    <w:rsid w:val="005800EE"/>
    <w:rsid w:val="005874A1"/>
    <w:rsid w:val="005A0532"/>
    <w:rsid w:val="005B0895"/>
    <w:rsid w:val="005B576D"/>
    <w:rsid w:val="005C016C"/>
    <w:rsid w:val="005C514F"/>
    <w:rsid w:val="005D2946"/>
    <w:rsid w:val="005D3D72"/>
    <w:rsid w:val="005D687A"/>
    <w:rsid w:val="005E3FEB"/>
    <w:rsid w:val="005E5A19"/>
    <w:rsid w:val="005F12B5"/>
    <w:rsid w:val="005F17D4"/>
    <w:rsid w:val="005F5866"/>
    <w:rsid w:val="005F5A7D"/>
    <w:rsid w:val="005F6E5E"/>
    <w:rsid w:val="00602AAE"/>
    <w:rsid w:val="00602FA8"/>
    <w:rsid w:val="006075FB"/>
    <w:rsid w:val="00617491"/>
    <w:rsid w:val="006177CD"/>
    <w:rsid w:val="00620B24"/>
    <w:rsid w:val="00622DF4"/>
    <w:rsid w:val="006258E7"/>
    <w:rsid w:val="0063114A"/>
    <w:rsid w:val="00633B66"/>
    <w:rsid w:val="00635469"/>
    <w:rsid w:val="00644472"/>
    <w:rsid w:val="00644A9A"/>
    <w:rsid w:val="00672477"/>
    <w:rsid w:val="006839D6"/>
    <w:rsid w:val="00685809"/>
    <w:rsid w:val="00686D58"/>
    <w:rsid w:val="00691925"/>
    <w:rsid w:val="006A07EE"/>
    <w:rsid w:val="006A1C60"/>
    <w:rsid w:val="006B6AD8"/>
    <w:rsid w:val="006C3F1E"/>
    <w:rsid w:val="006C7247"/>
    <w:rsid w:val="006C7A50"/>
    <w:rsid w:val="006D5805"/>
    <w:rsid w:val="006E0784"/>
    <w:rsid w:val="006E789F"/>
    <w:rsid w:val="006F3E7C"/>
    <w:rsid w:val="006F55C1"/>
    <w:rsid w:val="006F7513"/>
    <w:rsid w:val="006F7F86"/>
    <w:rsid w:val="00703C69"/>
    <w:rsid w:val="007145D6"/>
    <w:rsid w:val="007176D0"/>
    <w:rsid w:val="007339EC"/>
    <w:rsid w:val="00735BC9"/>
    <w:rsid w:val="00735EBF"/>
    <w:rsid w:val="00740310"/>
    <w:rsid w:val="00747C5D"/>
    <w:rsid w:val="00750A38"/>
    <w:rsid w:val="0075787F"/>
    <w:rsid w:val="00757AE7"/>
    <w:rsid w:val="00760149"/>
    <w:rsid w:val="007627BA"/>
    <w:rsid w:val="00770B48"/>
    <w:rsid w:val="00783876"/>
    <w:rsid w:val="00785D50"/>
    <w:rsid w:val="007A40B6"/>
    <w:rsid w:val="007B792D"/>
    <w:rsid w:val="007D59A3"/>
    <w:rsid w:val="007D7267"/>
    <w:rsid w:val="007E7804"/>
    <w:rsid w:val="007F097A"/>
    <w:rsid w:val="007F413B"/>
    <w:rsid w:val="008069CA"/>
    <w:rsid w:val="00826375"/>
    <w:rsid w:val="0084743F"/>
    <w:rsid w:val="008540A6"/>
    <w:rsid w:val="008559D1"/>
    <w:rsid w:val="0085738A"/>
    <w:rsid w:val="00862EE4"/>
    <w:rsid w:val="0086630C"/>
    <w:rsid w:val="00873AC4"/>
    <w:rsid w:val="00877A4F"/>
    <w:rsid w:val="0088660F"/>
    <w:rsid w:val="008901F1"/>
    <w:rsid w:val="008A6369"/>
    <w:rsid w:val="008B0289"/>
    <w:rsid w:val="008B0CD7"/>
    <w:rsid w:val="008B5C4D"/>
    <w:rsid w:val="008C0719"/>
    <w:rsid w:val="008C3AE8"/>
    <w:rsid w:val="008C3CD4"/>
    <w:rsid w:val="008D0DA0"/>
    <w:rsid w:val="008D443E"/>
    <w:rsid w:val="008D720B"/>
    <w:rsid w:val="008D76E0"/>
    <w:rsid w:val="008E112B"/>
    <w:rsid w:val="008F199E"/>
    <w:rsid w:val="008F1B37"/>
    <w:rsid w:val="00907D69"/>
    <w:rsid w:val="00925F6E"/>
    <w:rsid w:val="0092742B"/>
    <w:rsid w:val="009402C7"/>
    <w:rsid w:val="009427DD"/>
    <w:rsid w:val="009447FC"/>
    <w:rsid w:val="0094707E"/>
    <w:rsid w:val="0095297C"/>
    <w:rsid w:val="009601E3"/>
    <w:rsid w:val="009602CF"/>
    <w:rsid w:val="00960341"/>
    <w:rsid w:val="00975560"/>
    <w:rsid w:val="0098335F"/>
    <w:rsid w:val="00984AB8"/>
    <w:rsid w:val="0099491C"/>
    <w:rsid w:val="009A00F5"/>
    <w:rsid w:val="009A62DE"/>
    <w:rsid w:val="009B6048"/>
    <w:rsid w:val="009B7EC5"/>
    <w:rsid w:val="009C17EB"/>
    <w:rsid w:val="009D4EC7"/>
    <w:rsid w:val="009D7E4D"/>
    <w:rsid w:val="009E085D"/>
    <w:rsid w:val="009E6489"/>
    <w:rsid w:val="009F028D"/>
    <w:rsid w:val="009F3082"/>
    <w:rsid w:val="009F4655"/>
    <w:rsid w:val="00A01EDC"/>
    <w:rsid w:val="00A0513F"/>
    <w:rsid w:val="00A07DBE"/>
    <w:rsid w:val="00A16792"/>
    <w:rsid w:val="00A24205"/>
    <w:rsid w:val="00A27BFE"/>
    <w:rsid w:val="00A40A0D"/>
    <w:rsid w:val="00A40CB7"/>
    <w:rsid w:val="00A435AF"/>
    <w:rsid w:val="00A556A9"/>
    <w:rsid w:val="00A563D9"/>
    <w:rsid w:val="00A62CA9"/>
    <w:rsid w:val="00A65C09"/>
    <w:rsid w:val="00A66E9F"/>
    <w:rsid w:val="00A87DE7"/>
    <w:rsid w:val="00A9378A"/>
    <w:rsid w:val="00A93AB2"/>
    <w:rsid w:val="00A95F2A"/>
    <w:rsid w:val="00A96329"/>
    <w:rsid w:val="00AA0AA3"/>
    <w:rsid w:val="00AB0981"/>
    <w:rsid w:val="00AB1264"/>
    <w:rsid w:val="00AC1C92"/>
    <w:rsid w:val="00AC3322"/>
    <w:rsid w:val="00AE2E45"/>
    <w:rsid w:val="00AE3B80"/>
    <w:rsid w:val="00AF0ED9"/>
    <w:rsid w:val="00B00F36"/>
    <w:rsid w:val="00B06A42"/>
    <w:rsid w:val="00B16986"/>
    <w:rsid w:val="00B236E0"/>
    <w:rsid w:val="00B24958"/>
    <w:rsid w:val="00B33D6B"/>
    <w:rsid w:val="00B37305"/>
    <w:rsid w:val="00B45A65"/>
    <w:rsid w:val="00B52F0D"/>
    <w:rsid w:val="00B54B01"/>
    <w:rsid w:val="00B6340E"/>
    <w:rsid w:val="00B67174"/>
    <w:rsid w:val="00B72583"/>
    <w:rsid w:val="00B80264"/>
    <w:rsid w:val="00B841E6"/>
    <w:rsid w:val="00B9505A"/>
    <w:rsid w:val="00B959DA"/>
    <w:rsid w:val="00BA2123"/>
    <w:rsid w:val="00BA29F0"/>
    <w:rsid w:val="00BB19FB"/>
    <w:rsid w:val="00BB3C8A"/>
    <w:rsid w:val="00BC77FD"/>
    <w:rsid w:val="00BD1502"/>
    <w:rsid w:val="00BF1118"/>
    <w:rsid w:val="00C054A8"/>
    <w:rsid w:val="00C138D5"/>
    <w:rsid w:val="00C161E0"/>
    <w:rsid w:val="00C2174A"/>
    <w:rsid w:val="00C22101"/>
    <w:rsid w:val="00C278A6"/>
    <w:rsid w:val="00C33213"/>
    <w:rsid w:val="00C42663"/>
    <w:rsid w:val="00C45B01"/>
    <w:rsid w:val="00C46543"/>
    <w:rsid w:val="00C51A4B"/>
    <w:rsid w:val="00C543CB"/>
    <w:rsid w:val="00C56CEA"/>
    <w:rsid w:val="00C60822"/>
    <w:rsid w:val="00C64105"/>
    <w:rsid w:val="00C67EC9"/>
    <w:rsid w:val="00C76322"/>
    <w:rsid w:val="00C83011"/>
    <w:rsid w:val="00C92425"/>
    <w:rsid w:val="00C94382"/>
    <w:rsid w:val="00CA5B0E"/>
    <w:rsid w:val="00CB6B9A"/>
    <w:rsid w:val="00CC7A55"/>
    <w:rsid w:val="00CD2EC6"/>
    <w:rsid w:val="00CD4A94"/>
    <w:rsid w:val="00CD61B4"/>
    <w:rsid w:val="00CF3224"/>
    <w:rsid w:val="00CF615F"/>
    <w:rsid w:val="00D0159A"/>
    <w:rsid w:val="00D0176D"/>
    <w:rsid w:val="00D15828"/>
    <w:rsid w:val="00D165A4"/>
    <w:rsid w:val="00D244C3"/>
    <w:rsid w:val="00D31E67"/>
    <w:rsid w:val="00D50A85"/>
    <w:rsid w:val="00D536EA"/>
    <w:rsid w:val="00D54031"/>
    <w:rsid w:val="00D60A8D"/>
    <w:rsid w:val="00D64A4E"/>
    <w:rsid w:val="00D674DC"/>
    <w:rsid w:val="00D73485"/>
    <w:rsid w:val="00D94C1D"/>
    <w:rsid w:val="00DA39AC"/>
    <w:rsid w:val="00DA451D"/>
    <w:rsid w:val="00DB6129"/>
    <w:rsid w:val="00DB61FF"/>
    <w:rsid w:val="00DC1FA4"/>
    <w:rsid w:val="00DD0635"/>
    <w:rsid w:val="00DD418A"/>
    <w:rsid w:val="00DE3F35"/>
    <w:rsid w:val="00E15996"/>
    <w:rsid w:val="00E31B42"/>
    <w:rsid w:val="00E346F9"/>
    <w:rsid w:val="00E40E3B"/>
    <w:rsid w:val="00E44C09"/>
    <w:rsid w:val="00E54364"/>
    <w:rsid w:val="00E610F5"/>
    <w:rsid w:val="00E71539"/>
    <w:rsid w:val="00E97930"/>
    <w:rsid w:val="00EA1224"/>
    <w:rsid w:val="00EA1247"/>
    <w:rsid w:val="00EA503C"/>
    <w:rsid w:val="00EB14D3"/>
    <w:rsid w:val="00EB549D"/>
    <w:rsid w:val="00EB649F"/>
    <w:rsid w:val="00EC121E"/>
    <w:rsid w:val="00EC4005"/>
    <w:rsid w:val="00EC4440"/>
    <w:rsid w:val="00EC72E6"/>
    <w:rsid w:val="00ED3F52"/>
    <w:rsid w:val="00ED462A"/>
    <w:rsid w:val="00EE0CFC"/>
    <w:rsid w:val="00EE5F68"/>
    <w:rsid w:val="00EF0B1B"/>
    <w:rsid w:val="00F064C7"/>
    <w:rsid w:val="00F07378"/>
    <w:rsid w:val="00F13755"/>
    <w:rsid w:val="00F21895"/>
    <w:rsid w:val="00F31353"/>
    <w:rsid w:val="00F33F92"/>
    <w:rsid w:val="00F37B04"/>
    <w:rsid w:val="00F561EF"/>
    <w:rsid w:val="00F63153"/>
    <w:rsid w:val="00F701B0"/>
    <w:rsid w:val="00F7470F"/>
    <w:rsid w:val="00F752A5"/>
    <w:rsid w:val="00F93F43"/>
    <w:rsid w:val="00FA31FE"/>
    <w:rsid w:val="00FA4381"/>
    <w:rsid w:val="00FA503E"/>
    <w:rsid w:val="00FA50A5"/>
    <w:rsid w:val="00FA7116"/>
    <w:rsid w:val="00FB089B"/>
    <w:rsid w:val="00FB6CC5"/>
    <w:rsid w:val="00FC10F2"/>
    <w:rsid w:val="00FD5909"/>
    <w:rsid w:val="00FE1C03"/>
    <w:rsid w:val="00FE2310"/>
    <w:rsid w:val="00FF4E64"/>
    <w:rsid w:val="00FF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29E1"/>
  <w15:docId w15:val="{CBB96B77-7547-4246-BDA7-26D816B3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26B"/>
    <w:pPr>
      <w:widowControl w:val="0"/>
      <w:autoSpaceDE w:val="0"/>
      <w:autoSpaceDN w:val="0"/>
    </w:pPr>
    <w:rPr>
      <w:rFonts w:eastAsia="Times New Roman" w:cs="Times New Roman"/>
      <w:kern w:val="0"/>
      <w:sz w:val="22"/>
      <w14:ligatures w14:val="none"/>
    </w:rPr>
  </w:style>
  <w:style w:type="paragraph" w:styleId="Heading1">
    <w:name w:val="heading 1"/>
    <w:basedOn w:val="Normal"/>
    <w:next w:val="Normal"/>
    <w:link w:val="Heading1Char"/>
    <w:uiPriority w:val="9"/>
    <w:qFormat/>
    <w:rsid w:val="004E6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26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E62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62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E62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62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62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62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2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2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26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E62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E62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E62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62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62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62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62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26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E626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E62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26B"/>
    <w:rPr>
      <w:i/>
      <w:iCs/>
      <w:color w:val="404040" w:themeColor="text1" w:themeTint="BF"/>
    </w:rPr>
  </w:style>
  <w:style w:type="paragraph" w:styleId="ListParagraph">
    <w:name w:val="List Paragraph"/>
    <w:basedOn w:val="Normal"/>
    <w:uiPriority w:val="34"/>
    <w:qFormat/>
    <w:rsid w:val="004E626B"/>
    <w:pPr>
      <w:ind w:left="720"/>
      <w:contextualSpacing/>
    </w:pPr>
  </w:style>
  <w:style w:type="character" w:styleId="IntenseEmphasis">
    <w:name w:val="Intense Emphasis"/>
    <w:basedOn w:val="DefaultParagraphFont"/>
    <w:uiPriority w:val="21"/>
    <w:qFormat/>
    <w:rsid w:val="004E626B"/>
    <w:rPr>
      <w:i/>
      <w:iCs/>
      <w:color w:val="2F5496" w:themeColor="accent1" w:themeShade="BF"/>
    </w:rPr>
  </w:style>
  <w:style w:type="paragraph" w:styleId="IntenseQuote">
    <w:name w:val="Intense Quote"/>
    <w:basedOn w:val="Normal"/>
    <w:next w:val="Normal"/>
    <w:link w:val="IntenseQuoteChar"/>
    <w:uiPriority w:val="30"/>
    <w:qFormat/>
    <w:rsid w:val="004E6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26B"/>
    <w:rPr>
      <w:i/>
      <w:iCs/>
      <w:color w:val="2F5496" w:themeColor="accent1" w:themeShade="BF"/>
    </w:rPr>
  </w:style>
  <w:style w:type="character" w:styleId="IntenseReference">
    <w:name w:val="Intense Reference"/>
    <w:basedOn w:val="DefaultParagraphFont"/>
    <w:uiPriority w:val="32"/>
    <w:qFormat/>
    <w:rsid w:val="004E626B"/>
    <w:rPr>
      <w:b/>
      <w:bCs/>
      <w:smallCaps/>
      <w:color w:val="2F5496" w:themeColor="accent1" w:themeShade="BF"/>
      <w:spacing w:val="5"/>
    </w:rPr>
  </w:style>
  <w:style w:type="paragraph" w:styleId="BodyText">
    <w:name w:val="Body Text"/>
    <w:basedOn w:val="Normal"/>
    <w:link w:val="BodyTextChar"/>
    <w:uiPriority w:val="1"/>
    <w:qFormat/>
    <w:rsid w:val="004E626B"/>
    <w:pPr>
      <w:ind w:left="334" w:firstLine="695"/>
      <w:jc w:val="both"/>
    </w:pPr>
    <w:rPr>
      <w:sz w:val="28"/>
      <w:szCs w:val="28"/>
    </w:rPr>
  </w:style>
  <w:style w:type="character" w:customStyle="1" w:styleId="BodyTextChar">
    <w:name w:val="Body Text Char"/>
    <w:basedOn w:val="DefaultParagraphFont"/>
    <w:link w:val="BodyText"/>
    <w:uiPriority w:val="1"/>
    <w:rsid w:val="004E626B"/>
    <w:rPr>
      <w:rFonts w:eastAsia="Times New Roman" w:cs="Times New Roman"/>
      <w:kern w:val="0"/>
      <w:szCs w:val="28"/>
      <w14:ligatures w14:val="none"/>
    </w:rPr>
  </w:style>
  <w:style w:type="character" w:customStyle="1" w:styleId="Vnbnnidung">
    <w:name w:val="Văn bản nội dung_"/>
    <w:basedOn w:val="DefaultParagraphFont"/>
    <w:link w:val="Vnbnnidung0"/>
    <w:rsid w:val="0001124E"/>
    <w:rPr>
      <w:rFonts w:eastAsia="Times New Roman" w:cs="Times New Roman"/>
      <w:sz w:val="26"/>
      <w:szCs w:val="26"/>
    </w:rPr>
  </w:style>
  <w:style w:type="character" w:customStyle="1" w:styleId="Chthchnh">
    <w:name w:val="Chú thích ảnh_"/>
    <w:basedOn w:val="DefaultParagraphFont"/>
    <w:link w:val="Chthchnh0"/>
    <w:rsid w:val="0001124E"/>
    <w:rPr>
      <w:rFonts w:eastAsia="Times New Roman" w:cs="Times New Roman"/>
      <w:b/>
      <w:bCs/>
      <w:sz w:val="26"/>
      <w:szCs w:val="26"/>
    </w:rPr>
  </w:style>
  <w:style w:type="character" w:customStyle="1" w:styleId="Vnbnnidung3">
    <w:name w:val="Văn bản nội dung (3)_"/>
    <w:basedOn w:val="DefaultParagraphFont"/>
    <w:link w:val="Vnbnnidung30"/>
    <w:rsid w:val="0001124E"/>
    <w:rPr>
      <w:rFonts w:ascii="Palatino Linotype" w:eastAsia="Palatino Linotype" w:hAnsi="Palatino Linotype" w:cs="Palatino Linotype"/>
      <w:i/>
      <w:iCs/>
    </w:rPr>
  </w:style>
  <w:style w:type="character" w:customStyle="1" w:styleId="Vnbnnidung2">
    <w:name w:val="Văn bản nội dung (2)_"/>
    <w:basedOn w:val="DefaultParagraphFont"/>
    <w:link w:val="Vnbnnidung20"/>
    <w:rsid w:val="0001124E"/>
    <w:rPr>
      <w:rFonts w:eastAsia="Times New Roman" w:cs="Times New Roman"/>
      <w:sz w:val="20"/>
      <w:szCs w:val="20"/>
    </w:rPr>
  </w:style>
  <w:style w:type="paragraph" w:customStyle="1" w:styleId="Vnbnnidung0">
    <w:name w:val="Văn bản nội dung"/>
    <w:basedOn w:val="Normal"/>
    <w:link w:val="Vnbnnidung"/>
    <w:rsid w:val="0001124E"/>
    <w:pPr>
      <w:autoSpaceDE/>
      <w:autoSpaceDN/>
      <w:spacing w:after="100" w:line="257" w:lineRule="auto"/>
      <w:ind w:firstLine="400"/>
    </w:pPr>
    <w:rPr>
      <w:kern w:val="2"/>
      <w:sz w:val="26"/>
      <w:szCs w:val="26"/>
      <w14:ligatures w14:val="standardContextual"/>
    </w:rPr>
  </w:style>
  <w:style w:type="paragraph" w:customStyle="1" w:styleId="Chthchnh0">
    <w:name w:val="Chú thích ảnh"/>
    <w:basedOn w:val="Normal"/>
    <w:link w:val="Chthchnh"/>
    <w:rsid w:val="0001124E"/>
    <w:pPr>
      <w:autoSpaceDE/>
      <w:autoSpaceDN/>
    </w:pPr>
    <w:rPr>
      <w:b/>
      <w:bCs/>
      <w:kern w:val="2"/>
      <w:sz w:val="26"/>
      <w:szCs w:val="26"/>
      <w14:ligatures w14:val="standardContextual"/>
    </w:rPr>
  </w:style>
  <w:style w:type="paragraph" w:customStyle="1" w:styleId="Vnbnnidung30">
    <w:name w:val="Văn bản nội dung (3)"/>
    <w:basedOn w:val="Normal"/>
    <w:link w:val="Vnbnnidung3"/>
    <w:rsid w:val="0001124E"/>
    <w:pPr>
      <w:autoSpaceDE/>
      <w:autoSpaceDN/>
      <w:spacing w:line="182" w:lineRule="auto"/>
      <w:ind w:left="1120"/>
    </w:pPr>
    <w:rPr>
      <w:rFonts w:ascii="Palatino Linotype" w:eastAsia="Palatino Linotype" w:hAnsi="Palatino Linotype" w:cs="Palatino Linotype"/>
      <w:i/>
      <w:iCs/>
      <w:kern w:val="2"/>
      <w:sz w:val="28"/>
      <w14:ligatures w14:val="standardContextual"/>
    </w:rPr>
  </w:style>
  <w:style w:type="paragraph" w:customStyle="1" w:styleId="Vnbnnidung20">
    <w:name w:val="Văn bản nội dung (2)"/>
    <w:basedOn w:val="Normal"/>
    <w:link w:val="Vnbnnidung2"/>
    <w:rsid w:val="0001124E"/>
    <w:pPr>
      <w:autoSpaceDE/>
      <w:autoSpaceDN/>
      <w:spacing w:line="259" w:lineRule="auto"/>
      <w:ind w:left="1120"/>
    </w:pPr>
    <w:rPr>
      <w:kern w:val="2"/>
      <w:sz w:val="20"/>
      <w:szCs w:val="20"/>
      <w14:ligatures w14:val="standardContextual"/>
    </w:rPr>
  </w:style>
  <w:style w:type="table" w:styleId="TableGrid">
    <w:name w:val="Table Grid"/>
    <w:basedOn w:val="TableNormal"/>
    <w:uiPriority w:val="39"/>
    <w:rsid w:val="00A87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841E6"/>
    <w:rPr>
      <w:sz w:val="20"/>
      <w:szCs w:val="20"/>
    </w:rPr>
  </w:style>
  <w:style w:type="character" w:customStyle="1" w:styleId="FootnoteTextChar">
    <w:name w:val="Footnote Text Char"/>
    <w:basedOn w:val="DefaultParagraphFont"/>
    <w:link w:val="FootnoteText"/>
    <w:uiPriority w:val="99"/>
    <w:semiHidden/>
    <w:rsid w:val="00B841E6"/>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B841E6"/>
    <w:rPr>
      <w:vertAlign w:val="superscript"/>
    </w:rPr>
  </w:style>
  <w:style w:type="paragraph" w:styleId="Header">
    <w:name w:val="header"/>
    <w:basedOn w:val="Normal"/>
    <w:link w:val="HeaderChar"/>
    <w:uiPriority w:val="99"/>
    <w:unhideWhenUsed/>
    <w:rsid w:val="002E0EDE"/>
    <w:pPr>
      <w:tabs>
        <w:tab w:val="center" w:pos="4680"/>
        <w:tab w:val="right" w:pos="9360"/>
      </w:tabs>
    </w:pPr>
  </w:style>
  <w:style w:type="character" w:customStyle="1" w:styleId="HeaderChar">
    <w:name w:val="Header Char"/>
    <w:basedOn w:val="DefaultParagraphFont"/>
    <w:link w:val="Header"/>
    <w:uiPriority w:val="99"/>
    <w:rsid w:val="002E0EDE"/>
    <w:rPr>
      <w:rFonts w:eastAsia="Times New Roman" w:cs="Times New Roman"/>
      <w:kern w:val="0"/>
      <w:sz w:val="22"/>
      <w14:ligatures w14:val="none"/>
    </w:rPr>
  </w:style>
  <w:style w:type="paragraph" w:styleId="Footer">
    <w:name w:val="footer"/>
    <w:basedOn w:val="Normal"/>
    <w:link w:val="FooterChar"/>
    <w:uiPriority w:val="99"/>
    <w:unhideWhenUsed/>
    <w:rsid w:val="002E0EDE"/>
    <w:pPr>
      <w:tabs>
        <w:tab w:val="center" w:pos="4680"/>
        <w:tab w:val="right" w:pos="9360"/>
      </w:tabs>
    </w:pPr>
  </w:style>
  <w:style w:type="character" w:customStyle="1" w:styleId="FooterChar">
    <w:name w:val="Footer Char"/>
    <w:basedOn w:val="DefaultParagraphFont"/>
    <w:link w:val="Footer"/>
    <w:uiPriority w:val="99"/>
    <w:rsid w:val="002E0EDE"/>
    <w:rPr>
      <w:rFonts w:eastAsia="Times New Roman" w:cs="Times New Roman"/>
      <w:kern w:val="0"/>
      <w:sz w:val="22"/>
      <w14:ligatures w14:val="none"/>
    </w:rPr>
  </w:style>
  <w:style w:type="character" w:styleId="CommentReference">
    <w:name w:val="annotation reference"/>
    <w:basedOn w:val="DefaultParagraphFont"/>
    <w:uiPriority w:val="99"/>
    <w:semiHidden/>
    <w:unhideWhenUsed/>
    <w:rsid w:val="006B6AD8"/>
    <w:rPr>
      <w:sz w:val="16"/>
      <w:szCs w:val="16"/>
    </w:rPr>
  </w:style>
  <w:style w:type="paragraph" w:styleId="CommentText">
    <w:name w:val="annotation text"/>
    <w:basedOn w:val="Normal"/>
    <w:link w:val="CommentTextChar"/>
    <w:uiPriority w:val="99"/>
    <w:unhideWhenUsed/>
    <w:rsid w:val="006B6AD8"/>
    <w:rPr>
      <w:sz w:val="20"/>
      <w:szCs w:val="20"/>
    </w:rPr>
  </w:style>
  <w:style w:type="character" w:customStyle="1" w:styleId="CommentTextChar">
    <w:name w:val="Comment Text Char"/>
    <w:basedOn w:val="DefaultParagraphFont"/>
    <w:link w:val="CommentText"/>
    <w:uiPriority w:val="99"/>
    <w:rsid w:val="006B6AD8"/>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6AD8"/>
    <w:rPr>
      <w:b/>
      <w:bCs/>
    </w:rPr>
  </w:style>
  <w:style w:type="character" w:customStyle="1" w:styleId="CommentSubjectChar">
    <w:name w:val="Comment Subject Char"/>
    <w:basedOn w:val="CommentTextChar"/>
    <w:link w:val="CommentSubject"/>
    <w:uiPriority w:val="99"/>
    <w:semiHidden/>
    <w:rsid w:val="006B6AD8"/>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2815D3"/>
    <w:rPr>
      <w:rFonts w:ascii="Tahoma" w:hAnsi="Tahoma" w:cs="Tahoma"/>
      <w:sz w:val="16"/>
      <w:szCs w:val="16"/>
    </w:rPr>
  </w:style>
  <w:style w:type="character" w:customStyle="1" w:styleId="BalloonTextChar">
    <w:name w:val="Balloon Text Char"/>
    <w:basedOn w:val="DefaultParagraphFont"/>
    <w:link w:val="BalloonText"/>
    <w:uiPriority w:val="99"/>
    <w:semiHidden/>
    <w:rsid w:val="002815D3"/>
    <w:rPr>
      <w:rFonts w:ascii="Tahoma" w:eastAsia="Times New Roman" w:hAnsi="Tahoma" w:cs="Tahoma"/>
      <w:kern w:val="0"/>
      <w:sz w:val="16"/>
      <w:szCs w:val="16"/>
      <w14:ligatures w14:val="none"/>
    </w:rPr>
  </w:style>
  <w:style w:type="paragraph" w:customStyle="1" w:styleId="CharChar2CharChar">
    <w:name w:val="Char Char2 Char Char"/>
    <w:basedOn w:val="Normal"/>
    <w:autoRedefine/>
    <w:rsid w:val="00740310"/>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BodyText2">
    <w:name w:val="Body Text 2"/>
    <w:basedOn w:val="Normal"/>
    <w:link w:val="BodyText2Char"/>
    <w:uiPriority w:val="99"/>
    <w:semiHidden/>
    <w:unhideWhenUsed/>
    <w:rsid w:val="00527C9B"/>
    <w:pPr>
      <w:spacing w:after="120" w:line="480" w:lineRule="auto"/>
    </w:pPr>
  </w:style>
  <w:style w:type="character" w:customStyle="1" w:styleId="BodyText2Char">
    <w:name w:val="Body Text 2 Char"/>
    <w:basedOn w:val="DefaultParagraphFont"/>
    <w:link w:val="BodyText2"/>
    <w:uiPriority w:val="99"/>
    <w:semiHidden/>
    <w:rsid w:val="00527C9B"/>
    <w:rPr>
      <w:rFonts w:eastAsia="Times New Roman" w:cs="Times New Roman"/>
      <w:kern w:val="0"/>
      <w:sz w:val="22"/>
      <w14:ligatures w14:val="none"/>
    </w:rPr>
  </w:style>
  <w:style w:type="character" w:styleId="Strong">
    <w:name w:val="Strong"/>
    <w:basedOn w:val="DefaultParagraphFont"/>
    <w:uiPriority w:val="22"/>
    <w:qFormat/>
    <w:rsid w:val="0050517F"/>
    <w:rPr>
      <w:b/>
      <w:bCs/>
    </w:rPr>
  </w:style>
  <w:style w:type="character" w:styleId="Hyperlink">
    <w:name w:val="Hyperlink"/>
    <w:basedOn w:val="DefaultParagraphFont"/>
    <w:uiPriority w:val="99"/>
    <w:semiHidden/>
    <w:unhideWhenUsed/>
    <w:rsid w:val="00617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21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5AF10-BA0F-4A00-8616-13D6FBE8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Kim Dung</dc:creator>
  <cp:keywords/>
  <dc:description/>
  <cp:lastModifiedBy>Microsoft account</cp:lastModifiedBy>
  <cp:revision>7</cp:revision>
  <cp:lastPrinted>2025-11-10T06:54:00Z</cp:lastPrinted>
  <dcterms:created xsi:type="dcterms:W3CDTF">2025-12-04T03:13:00Z</dcterms:created>
  <dcterms:modified xsi:type="dcterms:W3CDTF">2025-12-09T07:18:00Z</dcterms:modified>
</cp:coreProperties>
</file>